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C5EFC" w14:textId="77777777" w:rsidR="00C042F4" w:rsidRPr="004E1E53" w:rsidRDefault="00895AD4" w:rsidP="00895AD4">
      <w:pPr>
        <w:jc w:val="center"/>
        <w:rPr>
          <w:rFonts w:ascii="Century Gothic" w:hAnsi="Century Gothic"/>
          <w:b/>
          <w:sz w:val="32"/>
          <w:szCs w:val="32"/>
        </w:rPr>
      </w:pPr>
      <w:r w:rsidRPr="004E1E53">
        <w:rPr>
          <w:rFonts w:ascii="Century Gothic" w:hAnsi="Century Gothic"/>
          <w:b/>
          <w:sz w:val="32"/>
          <w:szCs w:val="32"/>
        </w:rPr>
        <w:t>TRIMDON PARISH COUNCIL</w:t>
      </w:r>
    </w:p>
    <w:p w14:paraId="1294DA18" w14:textId="3AD56EB5" w:rsidR="00935B3F" w:rsidRDefault="00935B3F" w:rsidP="00384422">
      <w:pPr>
        <w:spacing w:after="0"/>
        <w:jc w:val="center"/>
        <w:rPr>
          <w:rFonts w:ascii="Arial" w:hAnsi="Arial" w:cs="Arial"/>
          <w:b/>
        </w:rPr>
      </w:pPr>
      <w:r>
        <w:rPr>
          <w:rFonts w:ascii="Arial" w:hAnsi="Arial" w:cs="Arial"/>
          <w:b/>
        </w:rPr>
        <w:t xml:space="preserve">ANNUAL INVESTMENT STRATEGY </w:t>
      </w:r>
      <w:r w:rsidR="006744C6">
        <w:rPr>
          <w:rFonts w:ascii="Arial" w:hAnsi="Arial" w:cs="Arial"/>
          <w:b/>
        </w:rPr>
        <w:t>202</w:t>
      </w:r>
      <w:r w:rsidR="00CB44F4">
        <w:rPr>
          <w:rFonts w:ascii="Arial" w:hAnsi="Arial" w:cs="Arial"/>
          <w:b/>
        </w:rPr>
        <w:t>1</w:t>
      </w:r>
      <w:r w:rsidR="006744C6">
        <w:rPr>
          <w:rFonts w:ascii="Arial" w:hAnsi="Arial" w:cs="Arial"/>
          <w:b/>
        </w:rPr>
        <w:t>/202</w:t>
      </w:r>
      <w:r w:rsidR="00CB44F4">
        <w:rPr>
          <w:rFonts w:ascii="Arial" w:hAnsi="Arial" w:cs="Arial"/>
          <w:b/>
        </w:rPr>
        <w:t>2</w:t>
      </w:r>
    </w:p>
    <w:p w14:paraId="737F7773" w14:textId="77777777" w:rsidR="00384422" w:rsidRDefault="00384422" w:rsidP="00384422">
      <w:pPr>
        <w:spacing w:after="0"/>
        <w:jc w:val="center"/>
        <w:rPr>
          <w:rFonts w:ascii="Arial" w:hAnsi="Arial" w:cs="Arial"/>
          <w:b/>
        </w:rPr>
      </w:pPr>
    </w:p>
    <w:p w14:paraId="7C166179" w14:textId="77777777" w:rsidR="00935B3F" w:rsidRDefault="00935B3F" w:rsidP="00935B3F">
      <w:pPr>
        <w:spacing w:after="0"/>
        <w:jc w:val="both"/>
        <w:rPr>
          <w:rFonts w:ascii="Arial" w:hAnsi="Arial" w:cs="Arial"/>
        </w:rPr>
      </w:pPr>
      <w:r>
        <w:rPr>
          <w:rFonts w:ascii="Arial" w:hAnsi="Arial" w:cs="Arial"/>
        </w:rPr>
        <w:t>INTRODUCTION</w:t>
      </w:r>
    </w:p>
    <w:p w14:paraId="01A651FA" w14:textId="77777777" w:rsidR="00935B3F" w:rsidRDefault="00935B3F" w:rsidP="00935B3F">
      <w:pPr>
        <w:spacing w:after="0"/>
        <w:jc w:val="both"/>
        <w:rPr>
          <w:rFonts w:ascii="Arial" w:hAnsi="Arial" w:cs="Arial"/>
        </w:rPr>
      </w:pPr>
    </w:p>
    <w:p w14:paraId="64A39067" w14:textId="77777777" w:rsidR="00935B3F" w:rsidRDefault="00935B3F" w:rsidP="00935B3F">
      <w:pPr>
        <w:spacing w:after="0"/>
        <w:jc w:val="both"/>
        <w:rPr>
          <w:rFonts w:ascii="Arial" w:hAnsi="Arial" w:cs="Arial"/>
        </w:rPr>
      </w:pPr>
      <w:r>
        <w:rPr>
          <w:rFonts w:ascii="Arial" w:hAnsi="Arial" w:cs="Arial"/>
        </w:rPr>
        <w:t>Trimdon Parish Council acknowledges the importance of prudently investing the temporarily surplus funds held on behalf of the community.</w:t>
      </w:r>
    </w:p>
    <w:p w14:paraId="71E79C2D" w14:textId="77777777" w:rsidR="00935B3F" w:rsidRDefault="00935B3F" w:rsidP="00935B3F">
      <w:pPr>
        <w:spacing w:after="0"/>
        <w:jc w:val="both"/>
        <w:rPr>
          <w:rFonts w:ascii="Arial" w:hAnsi="Arial" w:cs="Arial"/>
        </w:rPr>
      </w:pPr>
    </w:p>
    <w:p w14:paraId="5D5F7111" w14:textId="77777777" w:rsidR="00935B3F" w:rsidRDefault="00935B3F" w:rsidP="00935B3F">
      <w:pPr>
        <w:spacing w:after="0"/>
        <w:jc w:val="both"/>
        <w:rPr>
          <w:rFonts w:ascii="Arial" w:hAnsi="Arial" w:cs="Arial"/>
        </w:rPr>
      </w:pPr>
      <w:r>
        <w:rPr>
          <w:rFonts w:ascii="Arial" w:hAnsi="Arial" w:cs="Arial"/>
        </w:rPr>
        <w:t>This strategy has been prepared in accordance with the Guidance on Local Government Investment (“the Guidance”), issued under section 15(1)(a) of the Local Government Act 2013, effective from 1 April 2010.</w:t>
      </w:r>
      <w:r w:rsidR="00CD0991">
        <w:rPr>
          <w:rFonts w:ascii="Arial" w:hAnsi="Arial" w:cs="Arial"/>
        </w:rPr>
        <w:t xml:space="preserve">  The Guidance recommends that a Parish Council produces an Annual Investment Strategy which sets out its policy for managing the investments and giving priority to the liquidity and security.</w:t>
      </w:r>
    </w:p>
    <w:p w14:paraId="318189CB" w14:textId="77777777" w:rsidR="00935B3F" w:rsidRDefault="00935B3F" w:rsidP="00935B3F">
      <w:pPr>
        <w:spacing w:after="0"/>
        <w:jc w:val="both"/>
        <w:rPr>
          <w:rFonts w:ascii="Arial" w:hAnsi="Arial" w:cs="Arial"/>
        </w:rPr>
      </w:pPr>
    </w:p>
    <w:p w14:paraId="51900ACF" w14:textId="77777777" w:rsidR="00935B3F" w:rsidRDefault="00935B3F" w:rsidP="00935B3F">
      <w:pPr>
        <w:spacing w:after="0"/>
        <w:jc w:val="both"/>
        <w:rPr>
          <w:rFonts w:ascii="Arial" w:hAnsi="Arial" w:cs="Arial"/>
        </w:rPr>
      </w:pPr>
      <w:r>
        <w:rPr>
          <w:rFonts w:ascii="Arial" w:hAnsi="Arial" w:cs="Arial"/>
        </w:rPr>
        <w:t>Where a Town or Parish Council expects its investments at any time during a financial year to exceed £10,000 but not £500,000 it should decide on the extent, if any, to which it would be reasonable to have regard to the Guidance in relation to that year.</w:t>
      </w:r>
    </w:p>
    <w:p w14:paraId="1DFB8DC7" w14:textId="77777777" w:rsidR="00935B3F" w:rsidRDefault="00935B3F" w:rsidP="00935B3F">
      <w:pPr>
        <w:spacing w:after="0"/>
        <w:jc w:val="both"/>
        <w:rPr>
          <w:rFonts w:ascii="Arial" w:hAnsi="Arial" w:cs="Arial"/>
        </w:rPr>
      </w:pPr>
    </w:p>
    <w:p w14:paraId="567AD851" w14:textId="05D0BAE2" w:rsidR="00935B3F" w:rsidRDefault="000162BA" w:rsidP="00935B3F">
      <w:pPr>
        <w:spacing w:after="0"/>
        <w:jc w:val="both"/>
        <w:rPr>
          <w:rFonts w:ascii="Arial" w:hAnsi="Arial" w:cs="Arial"/>
        </w:rPr>
      </w:pPr>
      <w:r>
        <w:rPr>
          <w:rFonts w:ascii="Arial" w:hAnsi="Arial" w:cs="Arial"/>
        </w:rPr>
        <w:t>Trimdon</w:t>
      </w:r>
      <w:r w:rsidR="00935B3F">
        <w:rPr>
          <w:rFonts w:ascii="Arial" w:hAnsi="Arial" w:cs="Arial"/>
        </w:rPr>
        <w:t xml:space="preserve"> Parish Council expects its investments during the </w:t>
      </w:r>
      <w:r w:rsidR="006744C6">
        <w:rPr>
          <w:rFonts w:ascii="Arial" w:hAnsi="Arial" w:cs="Arial"/>
        </w:rPr>
        <w:t>202</w:t>
      </w:r>
      <w:r w:rsidR="00CB44F4">
        <w:rPr>
          <w:rFonts w:ascii="Arial" w:hAnsi="Arial" w:cs="Arial"/>
        </w:rPr>
        <w:t>1</w:t>
      </w:r>
      <w:r w:rsidR="006744C6">
        <w:rPr>
          <w:rFonts w:ascii="Arial" w:hAnsi="Arial" w:cs="Arial"/>
        </w:rPr>
        <w:t>/202</w:t>
      </w:r>
      <w:r w:rsidR="00CB44F4">
        <w:rPr>
          <w:rFonts w:ascii="Arial" w:hAnsi="Arial" w:cs="Arial"/>
        </w:rPr>
        <w:t>2</w:t>
      </w:r>
      <w:r w:rsidR="00935B3F">
        <w:rPr>
          <w:rFonts w:ascii="Arial" w:hAnsi="Arial" w:cs="Arial"/>
        </w:rPr>
        <w:t xml:space="preserve"> financial </w:t>
      </w:r>
      <w:r w:rsidR="00DC5164">
        <w:rPr>
          <w:rFonts w:ascii="Arial" w:hAnsi="Arial" w:cs="Arial"/>
        </w:rPr>
        <w:t>y</w:t>
      </w:r>
      <w:r w:rsidR="00935B3F">
        <w:rPr>
          <w:rFonts w:ascii="Arial" w:hAnsi="Arial" w:cs="Arial"/>
        </w:rPr>
        <w:t>ear to exceed £10,000 but not £500,000, and has agreed to apply the Guidance as set out below.</w:t>
      </w:r>
    </w:p>
    <w:p w14:paraId="41C99123" w14:textId="77777777" w:rsidR="00935B3F" w:rsidRDefault="00935B3F" w:rsidP="00935B3F">
      <w:pPr>
        <w:spacing w:after="0"/>
        <w:jc w:val="both"/>
        <w:rPr>
          <w:rFonts w:ascii="Arial" w:hAnsi="Arial" w:cs="Arial"/>
        </w:rPr>
      </w:pPr>
    </w:p>
    <w:p w14:paraId="6CD1D343" w14:textId="77777777" w:rsidR="00935B3F" w:rsidRDefault="00935B3F" w:rsidP="00935B3F">
      <w:pPr>
        <w:spacing w:after="0"/>
        <w:jc w:val="both"/>
        <w:rPr>
          <w:rFonts w:ascii="Arial" w:hAnsi="Arial" w:cs="Arial"/>
        </w:rPr>
      </w:pPr>
      <w:r>
        <w:rPr>
          <w:rFonts w:ascii="Arial" w:hAnsi="Arial" w:cs="Arial"/>
        </w:rPr>
        <w:t>INVESTMENT OBJECTIVES</w:t>
      </w:r>
    </w:p>
    <w:p w14:paraId="48A2B297" w14:textId="77777777" w:rsidR="00CD0991" w:rsidRDefault="00CD0991" w:rsidP="00935B3F">
      <w:pPr>
        <w:spacing w:after="0"/>
        <w:jc w:val="both"/>
        <w:rPr>
          <w:rFonts w:ascii="Arial" w:hAnsi="Arial" w:cs="Arial"/>
        </w:rPr>
      </w:pPr>
    </w:p>
    <w:p w14:paraId="24AA316F" w14:textId="77777777" w:rsidR="00935B3F" w:rsidRDefault="00935B3F" w:rsidP="00935B3F">
      <w:pPr>
        <w:spacing w:after="0"/>
        <w:jc w:val="both"/>
        <w:rPr>
          <w:rFonts w:ascii="Arial" w:hAnsi="Arial" w:cs="Arial"/>
        </w:rPr>
      </w:pPr>
      <w:r>
        <w:rPr>
          <w:rFonts w:ascii="Arial" w:hAnsi="Arial" w:cs="Arial"/>
        </w:rPr>
        <w:t>The Parish Council’s priorities are:</w:t>
      </w:r>
    </w:p>
    <w:p w14:paraId="30373C5A" w14:textId="77777777" w:rsidR="00935B3F" w:rsidRDefault="00935B3F" w:rsidP="00935B3F">
      <w:pPr>
        <w:spacing w:after="0"/>
        <w:jc w:val="both"/>
        <w:rPr>
          <w:rFonts w:ascii="Arial" w:hAnsi="Arial" w:cs="Arial"/>
        </w:rPr>
      </w:pPr>
    </w:p>
    <w:p w14:paraId="5213180B" w14:textId="77777777" w:rsidR="00935B3F" w:rsidRDefault="00935B3F" w:rsidP="00935B3F">
      <w:pPr>
        <w:pStyle w:val="ListParagraph"/>
        <w:numPr>
          <w:ilvl w:val="0"/>
          <w:numId w:val="2"/>
        </w:numPr>
        <w:spacing w:after="0"/>
        <w:jc w:val="both"/>
        <w:rPr>
          <w:rFonts w:ascii="Arial" w:hAnsi="Arial" w:cs="Arial"/>
        </w:rPr>
      </w:pPr>
      <w:r>
        <w:rPr>
          <w:rFonts w:ascii="Arial" w:hAnsi="Arial" w:cs="Arial"/>
        </w:rPr>
        <w:t>The security of its reserves;</w:t>
      </w:r>
    </w:p>
    <w:p w14:paraId="418E458C" w14:textId="77777777" w:rsidR="00935B3F" w:rsidRDefault="00935B3F" w:rsidP="00935B3F">
      <w:pPr>
        <w:pStyle w:val="ListParagraph"/>
        <w:numPr>
          <w:ilvl w:val="0"/>
          <w:numId w:val="2"/>
        </w:numPr>
        <w:spacing w:after="0"/>
        <w:jc w:val="both"/>
        <w:rPr>
          <w:rFonts w:ascii="Arial" w:hAnsi="Arial" w:cs="Arial"/>
        </w:rPr>
      </w:pPr>
      <w:r>
        <w:rPr>
          <w:rFonts w:ascii="Arial" w:hAnsi="Arial" w:cs="Arial"/>
        </w:rPr>
        <w:t>The liquidity of its investments; and</w:t>
      </w:r>
    </w:p>
    <w:p w14:paraId="0A0EE6C0" w14:textId="77777777" w:rsidR="00935B3F" w:rsidRDefault="00CD0991" w:rsidP="00935B3F">
      <w:pPr>
        <w:pStyle w:val="ListParagraph"/>
        <w:numPr>
          <w:ilvl w:val="0"/>
          <w:numId w:val="2"/>
        </w:numPr>
        <w:spacing w:after="0"/>
        <w:jc w:val="both"/>
        <w:rPr>
          <w:rFonts w:ascii="Arial" w:hAnsi="Arial" w:cs="Arial"/>
        </w:rPr>
      </w:pPr>
      <w:r>
        <w:rPr>
          <w:rFonts w:ascii="Arial" w:hAnsi="Arial" w:cs="Arial"/>
        </w:rPr>
        <w:t>Return on investments</w:t>
      </w:r>
    </w:p>
    <w:p w14:paraId="78B713E3" w14:textId="77777777" w:rsidR="00CD0991" w:rsidRDefault="00CD0991" w:rsidP="00CD0991">
      <w:pPr>
        <w:spacing w:after="0"/>
        <w:jc w:val="both"/>
        <w:rPr>
          <w:rFonts w:ascii="Arial" w:hAnsi="Arial" w:cs="Arial"/>
        </w:rPr>
      </w:pPr>
    </w:p>
    <w:p w14:paraId="2282D7E3" w14:textId="77777777" w:rsidR="00CD0991" w:rsidRDefault="00CD0991" w:rsidP="00CD0991">
      <w:pPr>
        <w:spacing w:after="0"/>
        <w:jc w:val="both"/>
        <w:rPr>
          <w:rFonts w:ascii="Arial" w:hAnsi="Arial" w:cs="Arial"/>
        </w:rPr>
      </w:pPr>
      <w:r>
        <w:rPr>
          <w:rFonts w:ascii="Arial" w:hAnsi="Arial" w:cs="Arial"/>
        </w:rPr>
        <w:t>The Parish Council will aim to achieve the optimum return on its investments commensurate with property levels of security and liquidity.</w:t>
      </w:r>
    </w:p>
    <w:p w14:paraId="10A0F303" w14:textId="77777777" w:rsidR="00CD0991" w:rsidRDefault="00CD0991" w:rsidP="00CD0991">
      <w:pPr>
        <w:spacing w:after="0"/>
        <w:jc w:val="both"/>
        <w:rPr>
          <w:rFonts w:ascii="Arial" w:hAnsi="Arial" w:cs="Arial"/>
        </w:rPr>
      </w:pPr>
    </w:p>
    <w:p w14:paraId="099781E0" w14:textId="77777777" w:rsidR="00CD0991" w:rsidRDefault="00CD0991" w:rsidP="00CD0991">
      <w:pPr>
        <w:spacing w:after="0"/>
        <w:jc w:val="both"/>
        <w:rPr>
          <w:rFonts w:ascii="Arial" w:hAnsi="Arial" w:cs="Arial"/>
        </w:rPr>
      </w:pPr>
      <w:r>
        <w:rPr>
          <w:rFonts w:ascii="Arial" w:hAnsi="Arial" w:cs="Arial"/>
        </w:rPr>
        <w:t>All investments will be made in sterling and, as a minimum, surplus funds will be aggregated in an interest</w:t>
      </w:r>
      <w:r w:rsidR="00384422">
        <w:rPr>
          <w:rFonts w:ascii="Arial" w:hAnsi="Arial" w:cs="Arial"/>
        </w:rPr>
        <w:t>-</w:t>
      </w:r>
      <w:r>
        <w:rPr>
          <w:rFonts w:ascii="Arial" w:hAnsi="Arial" w:cs="Arial"/>
        </w:rPr>
        <w:t>bearing bank account.</w:t>
      </w:r>
    </w:p>
    <w:p w14:paraId="145E224E" w14:textId="77777777" w:rsidR="00CD0991" w:rsidRDefault="00CD0991" w:rsidP="00CD0991">
      <w:pPr>
        <w:spacing w:after="0"/>
        <w:jc w:val="both"/>
        <w:rPr>
          <w:rFonts w:ascii="Arial" w:hAnsi="Arial" w:cs="Arial"/>
        </w:rPr>
      </w:pPr>
    </w:p>
    <w:p w14:paraId="7A56B917" w14:textId="77777777" w:rsidR="00CD0991" w:rsidRDefault="00CD0991" w:rsidP="00CD0991">
      <w:pPr>
        <w:spacing w:after="0"/>
        <w:jc w:val="both"/>
        <w:rPr>
          <w:rFonts w:ascii="Arial" w:hAnsi="Arial" w:cs="Arial"/>
        </w:rPr>
      </w:pPr>
      <w:r>
        <w:rPr>
          <w:rFonts w:ascii="Arial" w:hAnsi="Arial" w:cs="Arial"/>
        </w:rPr>
        <w:t>The Department for Communities and Local Government maintains that borrowing of monies purely to invest, or to lend and make a return, is unlawful and this Parish Council will not engage in such activity.</w:t>
      </w:r>
    </w:p>
    <w:p w14:paraId="6C078E61" w14:textId="77777777" w:rsidR="00CD0991" w:rsidRDefault="00CD0991" w:rsidP="00CD0991">
      <w:pPr>
        <w:spacing w:after="0"/>
        <w:jc w:val="both"/>
        <w:rPr>
          <w:rFonts w:ascii="Arial" w:hAnsi="Arial" w:cs="Arial"/>
        </w:rPr>
      </w:pPr>
    </w:p>
    <w:p w14:paraId="78EE1625" w14:textId="77777777" w:rsidR="00CD0991" w:rsidRDefault="00CD0991" w:rsidP="00CD0991">
      <w:pPr>
        <w:spacing w:after="0"/>
        <w:jc w:val="both"/>
        <w:rPr>
          <w:rFonts w:ascii="Arial" w:hAnsi="Arial" w:cs="Arial"/>
        </w:rPr>
      </w:pPr>
      <w:r>
        <w:rPr>
          <w:rFonts w:ascii="Arial" w:hAnsi="Arial" w:cs="Arial"/>
        </w:rPr>
        <w:t>SECURITY OF INVESTMENTS</w:t>
      </w:r>
    </w:p>
    <w:p w14:paraId="60D493D5" w14:textId="77777777" w:rsidR="00CD0991" w:rsidRDefault="00CD0991" w:rsidP="00CD0991">
      <w:pPr>
        <w:spacing w:after="0"/>
        <w:jc w:val="both"/>
        <w:rPr>
          <w:rFonts w:ascii="Arial" w:hAnsi="Arial" w:cs="Arial"/>
        </w:rPr>
      </w:pPr>
    </w:p>
    <w:p w14:paraId="56383F19" w14:textId="77777777" w:rsidR="00CD0991" w:rsidRDefault="00CD0991" w:rsidP="00CD0991">
      <w:pPr>
        <w:spacing w:after="0"/>
        <w:jc w:val="both"/>
        <w:rPr>
          <w:rFonts w:ascii="Arial" w:hAnsi="Arial" w:cs="Arial"/>
        </w:rPr>
      </w:pPr>
      <w:r>
        <w:rPr>
          <w:rFonts w:ascii="Arial" w:hAnsi="Arial" w:cs="Arial"/>
        </w:rPr>
        <w:t xml:space="preserve">Government guidance differentiates between specified investments and non-specified investments.  </w:t>
      </w:r>
    </w:p>
    <w:p w14:paraId="46D9916D" w14:textId="77777777" w:rsidR="00CD0991" w:rsidRDefault="00CD0991" w:rsidP="00CD0991">
      <w:pPr>
        <w:spacing w:after="0"/>
        <w:jc w:val="both"/>
        <w:rPr>
          <w:rFonts w:ascii="Arial" w:hAnsi="Arial" w:cs="Arial"/>
        </w:rPr>
      </w:pPr>
    </w:p>
    <w:p w14:paraId="23ACD94B" w14:textId="77777777" w:rsidR="00CD0991" w:rsidRDefault="00CD0991" w:rsidP="00CD0991">
      <w:pPr>
        <w:spacing w:after="0"/>
        <w:jc w:val="both"/>
        <w:rPr>
          <w:rFonts w:ascii="Arial" w:hAnsi="Arial" w:cs="Arial"/>
        </w:rPr>
      </w:pPr>
      <w:r>
        <w:rPr>
          <w:rFonts w:ascii="Arial" w:hAnsi="Arial" w:cs="Arial"/>
        </w:rPr>
        <w:lastRenderedPageBreak/>
        <w:t>Specified investments are those investments offering high security and high liquidity with a maturity of no more than one year.  In addition, short-term sterling investments must be with bodies/institutions with “high credit ratings”.</w:t>
      </w:r>
    </w:p>
    <w:p w14:paraId="3918CBCB" w14:textId="77777777" w:rsidR="00CD0991" w:rsidRDefault="00CD0991" w:rsidP="00CD0991">
      <w:pPr>
        <w:spacing w:after="0"/>
        <w:jc w:val="both"/>
        <w:rPr>
          <w:rFonts w:ascii="Arial" w:hAnsi="Arial" w:cs="Arial"/>
        </w:rPr>
      </w:pPr>
    </w:p>
    <w:p w14:paraId="074EF168" w14:textId="77777777" w:rsidR="00CD0991" w:rsidRDefault="00CD0991" w:rsidP="00CD0991">
      <w:pPr>
        <w:spacing w:after="0"/>
        <w:jc w:val="both"/>
        <w:rPr>
          <w:rFonts w:ascii="Arial" w:hAnsi="Arial" w:cs="Arial"/>
        </w:rPr>
      </w:pPr>
      <w:r>
        <w:rPr>
          <w:rFonts w:ascii="Arial" w:hAnsi="Arial" w:cs="Arial"/>
        </w:rPr>
        <w:t>For the prudent management of its treasury balances, maintain</w:t>
      </w:r>
      <w:r w:rsidR="000162BA">
        <w:rPr>
          <w:rFonts w:ascii="Arial" w:hAnsi="Arial" w:cs="Arial"/>
        </w:rPr>
        <w:t>ing</w:t>
      </w:r>
      <w:r>
        <w:rPr>
          <w:rFonts w:ascii="Arial" w:hAnsi="Arial" w:cs="Arial"/>
        </w:rPr>
        <w:t xml:space="preserve"> sufficient levels of security and liquidity, the Parish Council will use:</w:t>
      </w:r>
    </w:p>
    <w:p w14:paraId="7A8FE145" w14:textId="77777777" w:rsidR="00CD0991" w:rsidRDefault="00CD0991" w:rsidP="00CD0991">
      <w:pPr>
        <w:spacing w:after="0"/>
        <w:jc w:val="both"/>
        <w:rPr>
          <w:rFonts w:ascii="Arial" w:hAnsi="Arial" w:cs="Arial"/>
        </w:rPr>
      </w:pPr>
    </w:p>
    <w:p w14:paraId="7CC200A2" w14:textId="77777777" w:rsidR="00CD0991" w:rsidRPr="000162BA" w:rsidRDefault="00CD0991" w:rsidP="000162BA">
      <w:pPr>
        <w:pStyle w:val="ListParagraph"/>
        <w:numPr>
          <w:ilvl w:val="0"/>
          <w:numId w:val="3"/>
        </w:numPr>
        <w:spacing w:after="0"/>
        <w:jc w:val="both"/>
        <w:rPr>
          <w:rFonts w:ascii="Arial" w:hAnsi="Arial" w:cs="Arial"/>
        </w:rPr>
      </w:pPr>
      <w:r w:rsidRPr="000162BA">
        <w:rPr>
          <w:rFonts w:ascii="Arial" w:hAnsi="Arial" w:cs="Arial"/>
        </w:rPr>
        <w:t>UK banks and UK building societies;</w:t>
      </w:r>
    </w:p>
    <w:p w14:paraId="399F4EB3" w14:textId="77777777" w:rsidR="00CD0991" w:rsidRPr="000162BA" w:rsidRDefault="00CD0991" w:rsidP="000162BA">
      <w:pPr>
        <w:pStyle w:val="ListParagraph"/>
        <w:numPr>
          <w:ilvl w:val="0"/>
          <w:numId w:val="3"/>
        </w:numPr>
        <w:spacing w:after="0"/>
        <w:jc w:val="both"/>
        <w:rPr>
          <w:rFonts w:ascii="Arial" w:hAnsi="Arial" w:cs="Arial"/>
        </w:rPr>
      </w:pPr>
      <w:r w:rsidRPr="000162BA">
        <w:rPr>
          <w:rFonts w:ascii="Arial" w:hAnsi="Arial" w:cs="Arial"/>
        </w:rPr>
        <w:t>Public bodies (including Local Authorities and Police Authorities)</w:t>
      </w:r>
    </w:p>
    <w:p w14:paraId="2F9AE8A5" w14:textId="77777777" w:rsidR="00CD0991" w:rsidRPr="000162BA" w:rsidRDefault="00CD0991" w:rsidP="000162BA">
      <w:pPr>
        <w:pStyle w:val="ListParagraph"/>
        <w:numPr>
          <w:ilvl w:val="0"/>
          <w:numId w:val="3"/>
        </w:numPr>
        <w:spacing w:after="0"/>
        <w:jc w:val="both"/>
        <w:rPr>
          <w:rFonts w:ascii="Arial" w:hAnsi="Arial" w:cs="Arial"/>
        </w:rPr>
      </w:pPr>
      <w:r w:rsidRPr="000162BA">
        <w:rPr>
          <w:rFonts w:ascii="Arial" w:hAnsi="Arial" w:cs="Arial"/>
        </w:rPr>
        <w:t>UK FSA regulated qualifying money market funds with a triple A rating.</w:t>
      </w:r>
    </w:p>
    <w:p w14:paraId="64DBBD95" w14:textId="77777777" w:rsidR="009F409B" w:rsidRDefault="009F409B" w:rsidP="00CD0991">
      <w:pPr>
        <w:spacing w:after="0"/>
        <w:jc w:val="both"/>
        <w:rPr>
          <w:rFonts w:ascii="Arial" w:hAnsi="Arial" w:cs="Arial"/>
        </w:rPr>
      </w:pPr>
    </w:p>
    <w:p w14:paraId="5D04ED72" w14:textId="33207D20" w:rsidR="009F409B" w:rsidRDefault="009F409B" w:rsidP="00CD0991">
      <w:pPr>
        <w:spacing w:after="0"/>
        <w:jc w:val="both"/>
        <w:rPr>
          <w:rFonts w:ascii="Arial" w:hAnsi="Arial" w:cs="Arial"/>
        </w:rPr>
      </w:pPr>
      <w:r>
        <w:rPr>
          <w:rFonts w:ascii="Arial" w:hAnsi="Arial" w:cs="Arial"/>
        </w:rPr>
        <w:t>As from 1 April 2</w:t>
      </w:r>
      <w:r w:rsidR="006744C6">
        <w:rPr>
          <w:rFonts w:ascii="Arial" w:hAnsi="Arial" w:cs="Arial"/>
        </w:rPr>
        <w:t>020</w:t>
      </w:r>
      <w:r>
        <w:rPr>
          <w:rFonts w:ascii="Arial" w:hAnsi="Arial" w:cs="Arial"/>
        </w:rPr>
        <w:t xml:space="preserve"> the Parish Council will continue to hold its money in a current account </w:t>
      </w:r>
      <w:r w:rsidR="00384422">
        <w:rPr>
          <w:rFonts w:ascii="Arial" w:hAnsi="Arial" w:cs="Arial"/>
        </w:rPr>
        <w:t xml:space="preserve">and instant access account </w:t>
      </w:r>
      <w:r>
        <w:rPr>
          <w:rFonts w:ascii="Arial" w:hAnsi="Arial" w:cs="Arial"/>
        </w:rPr>
        <w:t>with the Co-</w:t>
      </w:r>
      <w:r w:rsidR="008054C2">
        <w:rPr>
          <w:rFonts w:ascii="Arial" w:hAnsi="Arial" w:cs="Arial"/>
        </w:rPr>
        <w:t>o</w:t>
      </w:r>
      <w:r>
        <w:rPr>
          <w:rFonts w:ascii="Arial" w:hAnsi="Arial" w:cs="Arial"/>
        </w:rPr>
        <w:t>perative Bank</w:t>
      </w:r>
      <w:r w:rsidR="00E64AB4">
        <w:rPr>
          <w:rFonts w:ascii="Arial" w:hAnsi="Arial" w:cs="Arial"/>
        </w:rPr>
        <w:t>.</w:t>
      </w:r>
      <w:r w:rsidR="00384422">
        <w:rPr>
          <w:rFonts w:ascii="Arial" w:hAnsi="Arial" w:cs="Arial"/>
        </w:rPr>
        <w:t xml:space="preserve">  The Co-operative Bank is covered by the Financial Services Compensation Scheme (FSCS).  The FSCS can pay compensation to depositors if a bank is unable to meets its financial obligations.  In respect of depositors, an eligible depositor is entitled to claim up to £75,000.  As the Parish Council currently (</w:t>
      </w:r>
      <w:r w:rsidR="004601CC">
        <w:rPr>
          <w:rFonts w:ascii="Arial" w:hAnsi="Arial" w:cs="Arial"/>
        </w:rPr>
        <w:t>28 February</w:t>
      </w:r>
      <w:r w:rsidR="00951A92">
        <w:rPr>
          <w:rFonts w:ascii="Arial" w:hAnsi="Arial" w:cs="Arial"/>
        </w:rPr>
        <w:t xml:space="preserve"> 20</w:t>
      </w:r>
      <w:r w:rsidR="008054C2">
        <w:rPr>
          <w:rFonts w:ascii="Arial" w:hAnsi="Arial" w:cs="Arial"/>
        </w:rPr>
        <w:t>2</w:t>
      </w:r>
      <w:r w:rsidR="004601CC">
        <w:rPr>
          <w:rFonts w:ascii="Arial" w:hAnsi="Arial" w:cs="Arial"/>
        </w:rPr>
        <w:t>1</w:t>
      </w:r>
      <w:r w:rsidR="00384422">
        <w:rPr>
          <w:rFonts w:ascii="Arial" w:hAnsi="Arial" w:cs="Arial"/>
        </w:rPr>
        <w:t xml:space="preserve">) has balances of </w:t>
      </w:r>
      <w:r w:rsidR="00867FE4">
        <w:rPr>
          <w:rFonts w:ascii="Arial" w:hAnsi="Arial" w:cs="Arial"/>
        </w:rPr>
        <w:t>£</w:t>
      </w:r>
      <w:r w:rsidR="004601CC">
        <w:rPr>
          <w:rFonts w:ascii="Arial" w:hAnsi="Arial" w:cs="Arial"/>
        </w:rPr>
        <w:t>123,021</w:t>
      </w:r>
      <w:r w:rsidR="00C55864">
        <w:rPr>
          <w:rFonts w:ascii="Arial" w:hAnsi="Arial" w:cs="Arial"/>
        </w:rPr>
        <w:t xml:space="preserve"> </w:t>
      </w:r>
      <w:r w:rsidR="00343213">
        <w:rPr>
          <w:rFonts w:ascii="Arial" w:hAnsi="Arial" w:cs="Arial"/>
        </w:rPr>
        <w:t>i</w:t>
      </w:r>
      <w:r w:rsidR="00384422">
        <w:rPr>
          <w:rFonts w:ascii="Arial" w:hAnsi="Arial" w:cs="Arial"/>
        </w:rPr>
        <w:t xml:space="preserve">nvested </w:t>
      </w:r>
      <w:r w:rsidR="00343213">
        <w:rPr>
          <w:rFonts w:ascii="Arial" w:hAnsi="Arial" w:cs="Arial"/>
        </w:rPr>
        <w:t>with the Co-</w:t>
      </w:r>
      <w:r w:rsidR="0027661F">
        <w:rPr>
          <w:rFonts w:ascii="Arial" w:hAnsi="Arial" w:cs="Arial"/>
        </w:rPr>
        <w:t>o</w:t>
      </w:r>
      <w:r w:rsidR="00343213">
        <w:rPr>
          <w:rFonts w:ascii="Arial" w:hAnsi="Arial" w:cs="Arial"/>
        </w:rPr>
        <w:t xml:space="preserve">perative Bank, consideration should be given to transferring £75,000 to an alternative bank to ensure </w:t>
      </w:r>
      <w:r w:rsidR="004E1E53">
        <w:rPr>
          <w:rFonts w:ascii="Arial" w:hAnsi="Arial" w:cs="Arial"/>
        </w:rPr>
        <w:t>that the Parish Council has adequate cover by the FSCS.</w:t>
      </w:r>
    </w:p>
    <w:p w14:paraId="211612F8" w14:textId="77777777" w:rsidR="009F409B" w:rsidRDefault="009F409B" w:rsidP="00CD0991">
      <w:pPr>
        <w:spacing w:after="0"/>
        <w:jc w:val="both"/>
        <w:rPr>
          <w:rFonts w:ascii="Arial" w:hAnsi="Arial" w:cs="Arial"/>
        </w:rPr>
      </w:pPr>
    </w:p>
    <w:p w14:paraId="66E284CA" w14:textId="77777777" w:rsidR="009F409B" w:rsidRDefault="009F409B" w:rsidP="00CD0991">
      <w:pPr>
        <w:spacing w:after="0"/>
        <w:jc w:val="both"/>
        <w:rPr>
          <w:rFonts w:ascii="Arial" w:hAnsi="Arial" w:cs="Arial"/>
        </w:rPr>
      </w:pPr>
      <w:r>
        <w:rPr>
          <w:rFonts w:ascii="Arial" w:hAnsi="Arial" w:cs="Arial"/>
        </w:rPr>
        <w:t>Non-specified investments</w:t>
      </w:r>
      <w:r w:rsidR="000162BA">
        <w:rPr>
          <w:rFonts w:ascii="Arial" w:hAnsi="Arial" w:cs="Arial"/>
        </w:rPr>
        <w:t xml:space="preserve"> are</w:t>
      </w:r>
      <w:r>
        <w:rPr>
          <w:rFonts w:ascii="Arial" w:hAnsi="Arial" w:cs="Arial"/>
        </w:rPr>
        <w:t xml:space="preserve"> investments are usually for longer periods (ie more than one year) and with bodies that are not high credit-rated.</w:t>
      </w:r>
    </w:p>
    <w:p w14:paraId="1B0D2B47" w14:textId="77777777" w:rsidR="009F409B" w:rsidRDefault="009F409B" w:rsidP="00CD0991">
      <w:pPr>
        <w:spacing w:after="0"/>
        <w:jc w:val="both"/>
        <w:rPr>
          <w:rFonts w:ascii="Arial" w:hAnsi="Arial" w:cs="Arial"/>
        </w:rPr>
      </w:pPr>
    </w:p>
    <w:p w14:paraId="6341F9DD" w14:textId="77777777" w:rsidR="009F409B" w:rsidRDefault="009F409B" w:rsidP="00CD0991">
      <w:pPr>
        <w:spacing w:after="0"/>
        <w:jc w:val="both"/>
        <w:rPr>
          <w:rFonts w:ascii="Arial" w:hAnsi="Arial" w:cs="Arial"/>
        </w:rPr>
      </w:pPr>
      <w:r>
        <w:rPr>
          <w:rFonts w:ascii="Arial" w:hAnsi="Arial" w:cs="Arial"/>
        </w:rPr>
        <w:t>No non-specified investments are included in the Investment Strategy as these investments are not acceptable due to their higher potential risk.</w:t>
      </w:r>
    </w:p>
    <w:p w14:paraId="751B8087" w14:textId="77777777" w:rsidR="009F409B" w:rsidRDefault="009F409B" w:rsidP="00CD0991">
      <w:pPr>
        <w:spacing w:after="0"/>
        <w:jc w:val="both"/>
        <w:rPr>
          <w:rFonts w:ascii="Arial" w:hAnsi="Arial" w:cs="Arial"/>
        </w:rPr>
      </w:pPr>
    </w:p>
    <w:p w14:paraId="3B1EB4CD" w14:textId="77777777" w:rsidR="009F409B" w:rsidRDefault="009F409B" w:rsidP="00CD0991">
      <w:pPr>
        <w:spacing w:after="0"/>
        <w:jc w:val="both"/>
        <w:rPr>
          <w:rFonts w:ascii="Arial" w:hAnsi="Arial" w:cs="Arial"/>
        </w:rPr>
      </w:pPr>
      <w:r>
        <w:rPr>
          <w:rFonts w:ascii="Arial" w:hAnsi="Arial" w:cs="Arial"/>
        </w:rPr>
        <w:t>LIQUIDITY OF INVESTMENTS</w:t>
      </w:r>
    </w:p>
    <w:p w14:paraId="240AFCC2" w14:textId="77777777" w:rsidR="009F409B" w:rsidRDefault="009F409B" w:rsidP="00CD0991">
      <w:pPr>
        <w:spacing w:after="0"/>
        <w:jc w:val="both"/>
        <w:rPr>
          <w:rFonts w:ascii="Arial" w:hAnsi="Arial" w:cs="Arial"/>
        </w:rPr>
      </w:pPr>
    </w:p>
    <w:p w14:paraId="548F619D" w14:textId="77777777" w:rsidR="009F409B" w:rsidRDefault="009F409B" w:rsidP="00CD0991">
      <w:pPr>
        <w:spacing w:after="0"/>
        <w:jc w:val="both"/>
        <w:rPr>
          <w:rFonts w:ascii="Arial" w:hAnsi="Arial" w:cs="Arial"/>
        </w:rPr>
      </w:pPr>
      <w:r>
        <w:rPr>
          <w:rFonts w:ascii="Arial" w:hAnsi="Arial" w:cs="Arial"/>
        </w:rPr>
        <w:t>The Responsible Financial Officer will determine the maximum period for which funds may prudently be invested, so as to not compromise liquidity.</w:t>
      </w:r>
    </w:p>
    <w:p w14:paraId="1BA09449" w14:textId="77777777" w:rsidR="009F409B" w:rsidRDefault="009F409B" w:rsidP="00CD0991">
      <w:pPr>
        <w:spacing w:after="0"/>
        <w:jc w:val="both"/>
        <w:rPr>
          <w:rFonts w:ascii="Arial" w:hAnsi="Arial" w:cs="Arial"/>
        </w:rPr>
      </w:pPr>
    </w:p>
    <w:p w14:paraId="7A657C99" w14:textId="77777777" w:rsidR="009F409B" w:rsidRDefault="009F409B" w:rsidP="00CD0991">
      <w:pPr>
        <w:spacing w:after="0"/>
        <w:jc w:val="both"/>
        <w:rPr>
          <w:rFonts w:ascii="Arial" w:hAnsi="Arial" w:cs="Arial"/>
        </w:rPr>
      </w:pPr>
      <w:r>
        <w:rPr>
          <w:rFonts w:ascii="Arial" w:hAnsi="Arial" w:cs="Arial"/>
        </w:rPr>
        <w:t>REVIEW AND AMENDMENT OF REGULATIONS</w:t>
      </w:r>
    </w:p>
    <w:p w14:paraId="2269EFBF" w14:textId="77777777" w:rsidR="009F409B" w:rsidRDefault="009F409B" w:rsidP="00CD0991">
      <w:pPr>
        <w:spacing w:after="0"/>
        <w:jc w:val="both"/>
        <w:rPr>
          <w:rFonts w:ascii="Arial" w:hAnsi="Arial" w:cs="Arial"/>
        </w:rPr>
      </w:pPr>
    </w:p>
    <w:p w14:paraId="551F3718" w14:textId="77777777" w:rsidR="009F409B" w:rsidRDefault="009F409B" w:rsidP="00CD0991">
      <w:pPr>
        <w:spacing w:after="0"/>
        <w:jc w:val="both"/>
        <w:rPr>
          <w:rFonts w:ascii="Arial" w:hAnsi="Arial" w:cs="Arial"/>
        </w:rPr>
      </w:pPr>
      <w:r>
        <w:rPr>
          <w:rFonts w:ascii="Arial" w:hAnsi="Arial" w:cs="Arial"/>
        </w:rPr>
        <w:t xml:space="preserve">The Investment Strategy will be reviewed annually.  The Annual Strategy </w:t>
      </w:r>
      <w:r w:rsidR="00C51391">
        <w:rPr>
          <w:rFonts w:ascii="Arial" w:hAnsi="Arial" w:cs="Arial"/>
        </w:rPr>
        <w:t>will be approved by the full Council.</w:t>
      </w:r>
    </w:p>
    <w:p w14:paraId="29918337" w14:textId="77777777" w:rsidR="00C51391" w:rsidRDefault="00C51391" w:rsidP="00CD0991">
      <w:pPr>
        <w:spacing w:after="0"/>
        <w:jc w:val="both"/>
        <w:rPr>
          <w:rFonts w:ascii="Arial" w:hAnsi="Arial" w:cs="Arial"/>
        </w:rPr>
      </w:pPr>
    </w:p>
    <w:p w14:paraId="4E63933F" w14:textId="77777777" w:rsidR="00C51391" w:rsidRDefault="00C51391" w:rsidP="00CD0991">
      <w:pPr>
        <w:spacing w:after="0"/>
        <w:jc w:val="both"/>
        <w:rPr>
          <w:rFonts w:ascii="Arial" w:hAnsi="Arial" w:cs="Arial"/>
        </w:rPr>
      </w:pPr>
      <w:r>
        <w:rPr>
          <w:rFonts w:ascii="Arial" w:hAnsi="Arial" w:cs="Arial"/>
        </w:rPr>
        <w:t>The Parish Council reserves the right to make variations to the Strategy at any time, subject to the approval of the full Council.  Any variations will be made available to the public.</w:t>
      </w:r>
    </w:p>
    <w:p w14:paraId="5D14AF8D" w14:textId="77777777" w:rsidR="00C51391" w:rsidRDefault="00C51391" w:rsidP="00CD0991">
      <w:pPr>
        <w:spacing w:after="0"/>
        <w:jc w:val="both"/>
        <w:rPr>
          <w:rFonts w:ascii="Arial" w:hAnsi="Arial" w:cs="Arial"/>
        </w:rPr>
      </w:pPr>
    </w:p>
    <w:p w14:paraId="7D9FA1FD" w14:textId="77777777" w:rsidR="00C51391" w:rsidRDefault="00C51391" w:rsidP="00CD0991">
      <w:pPr>
        <w:spacing w:after="0"/>
        <w:jc w:val="both"/>
        <w:rPr>
          <w:rFonts w:ascii="Arial" w:hAnsi="Arial" w:cs="Arial"/>
        </w:rPr>
      </w:pPr>
      <w:r>
        <w:rPr>
          <w:rFonts w:ascii="Arial" w:hAnsi="Arial" w:cs="Arial"/>
        </w:rPr>
        <w:t>FREEDOM OF INFORMATION</w:t>
      </w:r>
    </w:p>
    <w:p w14:paraId="70166B15" w14:textId="77777777" w:rsidR="00C51391" w:rsidRDefault="00C51391" w:rsidP="00CD0991">
      <w:pPr>
        <w:spacing w:after="0"/>
        <w:jc w:val="both"/>
        <w:rPr>
          <w:rFonts w:ascii="Arial" w:hAnsi="Arial" w:cs="Arial"/>
        </w:rPr>
      </w:pPr>
    </w:p>
    <w:p w14:paraId="2716EE5B" w14:textId="77777777" w:rsidR="00C51391" w:rsidRPr="00CD0991" w:rsidRDefault="00C51391" w:rsidP="00CD0991">
      <w:pPr>
        <w:spacing w:after="0"/>
        <w:jc w:val="both"/>
        <w:rPr>
          <w:rFonts w:ascii="Arial" w:hAnsi="Arial" w:cs="Arial"/>
        </w:rPr>
      </w:pPr>
      <w:r>
        <w:rPr>
          <w:rFonts w:ascii="Arial" w:hAnsi="Arial" w:cs="Arial"/>
        </w:rPr>
        <w:t>In accordance with the Freedom of Information Act 2000, this Document will be posted on the Parish website and a hard copy will be available from the Parish Clerk.</w:t>
      </w:r>
    </w:p>
    <w:p w14:paraId="35C2D7ED" w14:textId="77777777" w:rsidR="00935B3F" w:rsidRDefault="00935B3F" w:rsidP="00935B3F">
      <w:pPr>
        <w:spacing w:after="0"/>
        <w:jc w:val="both"/>
        <w:rPr>
          <w:rFonts w:ascii="Arial" w:hAnsi="Arial" w:cs="Arial"/>
        </w:rPr>
      </w:pPr>
    </w:p>
    <w:p w14:paraId="0EE261CA" w14:textId="77777777" w:rsidR="00935B3F" w:rsidRDefault="00935B3F" w:rsidP="00935B3F">
      <w:pPr>
        <w:rPr>
          <w:rFonts w:ascii="Arial" w:hAnsi="Arial" w:cs="Arial"/>
        </w:rPr>
      </w:pPr>
    </w:p>
    <w:p w14:paraId="1DCE28D3" w14:textId="77777777" w:rsidR="00935B3F" w:rsidRPr="00935B3F" w:rsidRDefault="00935B3F" w:rsidP="00935B3F">
      <w:pPr>
        <w:spacing w:after="0"/>
        <w:rPr>
          <w:rFonts w:ascii="Arial" w:hAnsi="Arial" w:cs="Arial"/>
        </w:rPr>
      </w:pPr>
    </w:p>
    <w:sectPr w:rsidR="00935B3F" w:rsidRPr="00935B3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AB8AD" w14:textId="77777777" w:rsidR="002548F7" w:rsidRDefault="002548F7" w:rsidP="00CD34BD">
      <w:pPr>
        <w:spacing w:after="0" w:line="240" w:lineRule="auto"/>
      </w:pPr>
      <w:r>
        <w:separator/>
      </w:r>
    </w:p>
  </w:endnote>
  <w:endnote w:type="continuationSeparator" w:id="0">
    <w:p w14:paraId="63B9CD94" w14:textId="77777777" w:rsidR="002548F7" w:rsidRDefault="002548F7" w:rsidP="00CD3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EBA4E" w14:textId="77777777" w:rsidR="00CD34BD" w:rsidRDefault="00CD34BD">
    <w:pPr>
      <w:pStyle w:val="Footer"/>
    </w:pPr>
    <w:r>
      <w:rPr>
        <w:noProof/>
        <w:lang w:eastAsia="en-GB"/>
      </w:rPr>
      <mc:AlternateContent>
        <mc:Choice Requires="wpg">
          <w:drawing>
            <wp:anchor distT="0" distB="0" distL="114300" distR="114300" simplePos="0" relativeHeight="251657216" behindDoc="0" locked="0" layoutInCell="1" allowOverlap="1" wp14:anchorId="5CB6C4E9" wp14:editId="6AACF5EF">
              <wp:simplePos x="0" y="0"/>
              <wp:positionH relativeFrom="page">
                <wp:align>center</wp:align>
              </wp:positionH>
              <wp:positionV relativeFrom="line">
                <wp:align>top</wp:align>
              </wp:positionV>
              <wp:extent cx="7366635" cy="347345"/>
              <wp:effectExtent l="0" t="0" r="5715" b="0"/>
              <wp:wrapTopAndBottom/>
              <wp:docPr id="265"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347345"/>
                        <a:chOff x="321" y="14850"/>
                        <a:chExt cx="11601" cy="547"/>
                      </a:xfrm>
                    </wpg:grpSpPr>
                    <wps:wsp>
                      <wps:cNvPr id="266" name="Rectangle 157"/>
                      <wps:cNvSpPr>
                        <a:spLocks noChangeArrowheads="1"/>
                      </wps:cNvSpPr>
                      <wps:spPr bwMode="auto">
                        <a:xfrm>
                          <a:off x="374" y="14903"/>
                          <a:ext cx="9346" cy="432"/>
                        </a:xfrm>
                        <a:prstGeom prst="rect">
                          <a:avLst/>
                        </a:prstGeom>
                        <a:solidFill>
                          <a:schemeClr val="accent2">
                            <a:lumMod val="75000"/>
                          </a:schemeClr>
                        </a:solidFill>
                        <a:extLst>
                          <a:ext uri="{91240B29-F687-4F45-9708-019B960494DF}">
                            <a14:hiddenLine xmlns:a14="http://schemas.microsoft.com/office/drawing/2010/main" w="9525">
                              <a:solidFill>
                                <a:srgbClr val="943634"/>
                              </a:solidFill>
                              <a:miter lim="800000"/>
                              <a:headEnd/>
                              <a:tailEnd/>
                            </a14:hiddenLine>
                          </a:ext>
                        </a:extLst>
                      </wps:spPr>
                      <wps:txb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863C31F" w14:textId="7B8967C6" w:rsidR="00CD34BD" w:rsidRDefault="00576144">
                                <w:pPr>
                                  <w:pStyle w:val="Footer"/>
                                  <w:jc w:val="right"/>
                                  <w:rPr>
                                    <w:color w:val="FFFFFF" w:themeColor="background1"/>
                                    <w:spacing w:val="60"/>
                                  </w:rPr>
                                </w:pPr>
                                <w:r>
                                  <w:rPr>
                                    <w:color w:val="FFFFFF" w:themeColor="background1"/>
                                    <w:spacing w:val="60"/>
                                  </w:rPr>
                                  <w:t xml:space="preserve">Annual Investment Strategy </w:t>
                                </w:r>
                                <w:r w:rsidR="006744C6">
                                  <w:rPr>
                                    <w:color w:val="FFFFFF" w:themeColor="background1"/>
                                    <w:spacing w:val="60"/>
                                  </w:rPr>
                                  <w:t>202</w:t>
                                </w:r>
                                <w:r w:rsidR="004601CC">
                                  <w:rPr>
                                    <w:color w:val="FFFFFF" w:themeColor="background1"/>
                                    <w:spacing w:val="60"/>
                                  </w:rPr>
                                  <w:t>1</w:t>
                                </w:r>
                                <w:r w:rsidR="006744C6">
                                  <w:rPr>
                                    <w:color w:val="FFFFFF" w:themeColor="background1"/>
                                    <w:spacing w:val="60"/>
                                  </w:rPr>
                                  <w:t>/202</w:t>
                                </w:r>
                                <w:r w:rsidR="004601CC">
                                  <w:rPr>
                                    <w:color w:val="FFFFFF" w:themeColor="background1"/>
                                    <w:spacing w:val="60"/>
                                  </w:rPr>
                                  <w:t>2</w:t>
                                </w:r>
                              </w:p>
                            </w:sdtContent>
                          </w:sdt>
                          <w:p w14:paraId="764121F3" w14:textId="77777777" w:rsidR="00CD34BD" w:rsidRDefault="00CD34BD">
                            <w:pPr>
                              <w:pStyle w:val="Header"/>
                              <w:rPr>
                                <w:color w:val="FFFFFF" w:themeColor="background1"/>
                              </w:rPr>
                            </w:pPr>
                          </w:p>
                        </w:txbxContent>
                      </wps:txbx>
                      <wps:bodyPr rot="0" vert="horz" wrap="square" lIns="91440" tIns="45720" rIns="91440" bIns="45720" anchor="t" anchorCtr="0" upright="1">
                        <a:noAutofit/>
                      </wps:bodyPr>
                    </wps:wsp>
                    <wps:wsp>
                      <wps:cNvPr id="267" name="Rectangle 158"/>
                      <wps:cNvSpPr>
                        <a:spLocks noChangeArrowheads="1"/>
                      </wps:cNvSpPr>
                      <wps:spPr bwMode="auto">
                        <a:xfrm>
                          <a:off x="9763" y="14903"/>
                          <a:ext cx="2102" cy="432"/>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14:paraId="5BA87589" w14:textId="77777777" w:rsidR="00CD34BD" w:rsidRDefault="00CD34BD">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C0EF2" w:rsidRPr="00AC0EF2">
                              <w:rPr>
                                <w:noProof/>
                                <w:color w:val="FFFFFF" w:themeColor="background1"/>
                              </w:rPr>
                              <w:t>1</w:t>
                            </w:r>
                            <w:r>
                              <w:rPr>
                                <w:noProof/>
                                <w:color w:val="FFFFFF" w:themeColor="background1"/>
                              </w:rPr>
                              <w:fldChar w:fldCharType="end"/>
                            </w:r>
                          </w:p>
                        </w:txbxContent>
                      </wps:txbx>
                      <wps:bodyPr rot="0" vert="horz" wrap="square" lIns="91440" tIns="45720" rIns="91440" bIns="45720" anchor="t" anchorCtr="0" upright="1">
                        <a:noAutofit/>
                      </wps:bodyPr>
                    </wps:wsp>
                    <wps:wsp>
                      <wps:cNvPr id="268" name="Rectangle 159"/>
                      <wps:cNvSpPr>
                        <a:spLocks noChangeArrowheads="1"/>
                      </wps:cNvSpPr>
                      <wps:spPr bwMode="auto">
                        <a:xfrm>
                          <a:off x="321" y="14850"/>
                          <a:ext cx="11601" cy="5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B6C4E9" id="Group 156" o:spid="_x0000_s1026" style="position:absolute;margin-left:0;margin-top:0;width:580.05pt;height:27.35pt;z-index:251657216;mso-position-horizontal:center;mso-position-horizontal-relative:page;mso-position-vertical:top;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">
              <v:rect id="Rectangle 157" o:spid="_x0000_s1027" style="position:absolute;left:374;top:14903;width:9346;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" fillcolor="#943634 [2405]" stroked="f" strokecolor="#943634">
                <v:textbox>
                  <w:txbxContent>
                    <w:sdt>
                      <w:sdtPr>
                        <w:rPr>
                          <w:color w:val="FFFFFF" w:themeColor="background1"/>
                          <w:spacing w:val="60"/>
                        </w:rPr>
                        <w:alias w:val="Address"/>
                        <w:id w:val="79885540"/>
                        <w:dataBinding w:prefixMappings="xmlns:ns0='http://schemas.microsoft.com/office/2006/coverPageProps'" w:xpath="/ns0:CoverPageProperties[1]/ns0:CompanyAddress[1]" w:storeItemID="{55AF091B-3C7A-41E3-B477-F2FDAA23CFDA}"/>
                        <w:text w:multiLine="1"/>
                      </w:sdtPr>
                      <w:sdtEndPr/>
                      <w:sdtContent>
                        <w:p w14:paraId="0863C31F" w14:textId="7B8967C6" w:rsidR="00CD34BD" w:rsidRDefault="00576144">
                          <w:pPr>
                            <w:pStyle w:val="Footer"/>
                            <w:jc w:val="right"/>
                            <w:rPr>
                              <w:color w:val="FFFFFF" w:themeColor="background1"/>
                              <w:spacing w:val="60"/>
                            </w:rPr>
                          </w:pPr>
                          <w:r>
                            <w:rPr>
                              <w:color w:val="FFFFFF" w:themeColor="background1"/>
                              <w:spacing w:val="60"/>
                            </w:rPr>
                            <w:t xml:space="preserve">Annual Investment Strategy </w:t>
                          </w:r>
                          <w:r w:rsidR="006744C6">
                            <w:rPr>
                              <w:color w:val="FFFFFF" w:themeColor="background1"/>
                              <w:spacing w:val="60"/>
                            </w:rPr>
                            <w:t>202</w:t>
                          </w:r>
                          <w:r w:rsidR="004601CC">
                            <w:rPr>
                              <w:color w:val="FFFFFF" w:themeColor="background1"/>
                              <w:spacing w:val="60"/>
                            </w:rPr>
                            <w:t>1</w:t>
                          </w:r>
                          <w:r w:rsidR="006744C6">
                            <w:rPr>
                              <w:color w:val="FFFFFF" w:themeColor="background1"/>
                              <w:spacing w:val="60"/>
                            </w:rPr>
                            <w:t>/202</w:t>
                          </w:r>
                          <w:r w:rsidR="004601CC">
                            <w:rPr>
                              <w:color w:val="FFFFFF" w:themeColor="background1"/>
                              <w:spacing w:val="60"/>
                            </w:rPr>
                            <w:t>2</w:t>
                          </w:r>
                        </w:p>
                      </w:sdtContent>
                    </w:sdt>
                    <w:p w14:paraId="764121F3" w14:textId="77777777" w:rsidR="00CD34BD" w:rsidRDefault="00CD34BD">
                      <w:pPr>
                        <w:pStyle w:val="Header"/>
                        <w:rPr>
                          <w:color w:val="FFFFFF" w:themeColor="background1"/>
                        </w:rPr>
                      </w:pPr>
                    </w:p>
                  </w:txbxContent>
                </v:textbox>
              </v:rect>
              <v:rect id="Rectangle 158" o:spid="_x0000_s1028" style="position:absolute;left:9763;top:14903;width:2102;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" fillcolor="#943634 [2405]" stroked="f">
                <v:textbox>
                  <w:txbxContent>
                    <w:p w14:paraId="5BA87589" w14:textId="77777777" w:rsidR="00CD34BD" w:rsidRDefault="00CD34BD">
                      <w:pPr>
                        <w:pStyle w:val="Footer"/>
                        <w:rPr>
                          <w:color w:val="FFFFFF" w:themeColor="background1"/>
                        </w:rPr>
                      </w:pPr>
                      <w:r>
                        <w:rPr>
                          <w:color w:val="FFFFFF" w:themeColor="background1"/>
                        </w:rPr>
                        <w:t xml:space="preserve">Page </w:t>
                      </w:r>
                      <w:r>
                        <w:fldChar w:fldCharType="begin"/>
                      </w:r>
                      <w:r>
                        <w:instrText xml:space="preserve"> PAGE   \* MERGEFORMAT </w:instrText>
                      </w:r>
                      <w:r>
                        <w:fldChar w:fldCharType="separate"/>
                      </w:r>
                      <w:r w:rsidR="00AC0EF2" w:rsidRPr="00AC0EF2">
                        <w:rPr>
                          <w:noProof/>
                          <w:color w:val="FFFFFF" w:themeColor="background1"/>
                        </w:rPr>
                        <w:t>1</w:t>
                      </w:r>
                      <w:r>
                        <w:rPr>
                          <w:noProof/>
                          <w:color w:val="FFFFFF" w:themeColor="background1"/>
                        </w:rPr>
                        <w:fldChar w:fldCharType="end"/>
                      </w:r>
                    </w:p>
                  </w:txbxContent>
                </v:textbox>
              </v:rect>
              <v:rect id="Rectangle 159" o:spid="_x0000_s1029"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type="topAndBottom" anchorx="page" anchory="line"/>
            </v:group>
          </w:pict>
        </mc:Fallback>
      </mc:AlternateContent>
    </w:r>
  </w:p>
  <w:p w14:paraId="4EAE30C8" w14:textId="77777777" w:rsidR="00CD34BD" w:rsidRDefault="00CD3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12B0B9" w14:textId="77777777" w:rsidR="002548F7" w:rsidRDefault="002548F7" w:rsidP="00CD34BD">
      <w:pPr>
        <w:spacing w:after="0" w:line="240" w:lineRule="auto"/>
      </w:pPr>
      <w:r>
        <w:separator/>
      </w:r>
    </w:p>
  </w:footnote>
  <w:footnote w:type="continuationSeparator" w:id="0">
    <w:p w14:paraId="51A6ED96" w14:textId="77777777" w:rsidR="002548F7" w:rsidRDefault="002548F7" w:rsidP="00CD34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3381"/>
    <w:multiLevelType w:val="hybridMultilevel"/>
    <w:tmpl w:val="077A3908"/>
    <w:lvl w:ilvl="0" w:tplc="1504A99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CB9299A"/>
    <w:multiLevelType w:val="hybridMultilevel"/>
    <w:tmpl w:val="487E8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6B51E6A"/>
    <w:multiLevelType w:val="hybridMultilevel"/>
    <w:tmpl w:val="E74048B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B6B"/>
    <w:rsid w:val="000162BA"/>
    <w:rsid w:val="0002773F"/>
    <w:rsid w:val="000C47EF"/>
    <w:rsid w:val="002548F7"/>
    <w:rsid w:val="0027661F"/>
    <w:rsid w:val="00343213"/>
    <w:rsid w:val="00384422"/>
    <w:rsid w:val="004601CC"/>
    <w:rsid w:val="00465D8D"/>
    <w:rsid w:val="004900EF"/>
    <w:rsid w:val="004E1E53"/>
    <w:rsid w:val="00506DA9"/>
    <w:rsid w:val="00576144"/>
    <w:rsid w:val="005F2A3F"/>
    <w:rsid w:val="006744C6"/>
    <w:rsid w:val="006F5BFF"/>
    <w:rsid w:val="00705B9E"/>
    <w:rsid w:val="00725750"/>
    <w:rsid w:val="007466A0"/>
    <w:rsid w:val="00764B6B"/>
    <w:rsid w:val="007C012B"/>
    <w:rsid w:val="008054C2"/>
    <w:rsid w:val="00806E02"/>
    <w:rsid w:val="00867FE4"/>
    <w:rsid w:val="008829C9"/>
    <w:rsid w:val="00895AD4"/>
    <w:rsid w:val="008F7516"/>
    <w:rsid w:val="009311F3"/>
    <w:rsid w:val="00935B3F"/>
    <w:rsid w:val="00951A92"/>
    <w:rsid w:val="009F409B"/>
    <w:rsid w:val="00AC0EF2"/>
    <w:rsid w:val="00BF4650"/>
    <w:rsid w:val="00C042F4"/>
    <w:rsid w:val="00C51391"/>
    <w:rsid w:val="00C55864"/>
    <w:rsid w:val="00CB44F4"/>
    <w:rsid w:val="00CD0991"/>
    <w:rsid w:val="00CD34BD"/>
    <w:rsid w:val="00D328D5"/>
    <w:rsid w:val="00D76337"/>
    <w:rsid w:val="00D938D5"/>
    <w:rsid w:val="00DB03C2"/>
    <w:rsid w:val="00DC5164"/>
    <w:rsid w:val="00E64AB4"/>
    <w:rsid w:val="00F33EB9"/>
    <w:rsid w:val="00F75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82D406"/>
  <w15:docId w15:val="{5DD4E4A9-BC50-4826-9FA6-64F61E9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B3F"/>
    <w:pPr>
      <w:ind w:left="720"/>
      <w:contextualSpacing/>
    </w:pPr>
  </w:style>
  <w:style w:type="paragraph" w:styleId="Header">
    <w:name w:val="header"/>
    <w:basedOn w:val="Normal"/>
    <w:link w:val="HeaderChar"/>
    <w:uiPriority w:val="99"/>
    <w:unhideWhenUsed/>
    <w:rsid w:val="00CD3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4BD"/>
  </w:style>
  <w:style w:type="paragraph" w:styleId="Footer">
    <w:name w:val="footer"/>
    <w:basedOn w:val="Normal"/>
    <w:link w:val="FooterChar"/>
    <w:uiPriority w:val="99"/>
    <w:unhideWhenUsed/>
    <w:rsid w:val="00CD3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4BD"/>
  </w:style>
  <w:style w:type="paragraph" w:styleId="BalloonText">
    <w:name w:val="Balloon Text"/>
    <w:basedOn w:val="Normal"/>
    <w:link w:val="BalloonTextChar"/>
    <w:uiPriority w:val="99"/>
    <w:semiHidden/>
    <w:unhideWhenUsed/>
    <w:rsid w:val="00CD3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Annual Investment Strategy 2021/2022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Trimdon Parish Council</cp:lastModifiedBy>
  <cp:revision>3</cp:revision>
  <cp:lastPrinted>2018-01-15T15:37:00Z</cp:lastPrinted>
  <dcterms:created xsi:type="dcterms:W3CDTF">2021-03-15T12:45:00Z</dcterms:created>
  <dcterms:modified xsi:type="dcterms:W3CDTF">2021-03-15T12:47:00Z</dcterms:modified>
</cp:coreProperties>
</file>