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19366" w14:textId="77777777" w:rsidR="00A65E71" w:rsidRDefault="001B7CD6" w:rsidP="001B7CD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TRIMDON PARISH COUNCIL</w:t>
      </w:r>
    </w:p>
    <w:p w14:paraId="2420B2BB" w14:textId="77777777" w:rsidR="001B7CD6" w:rsidRDefault="001B7CD6" w:rsidP="001B7CD6">
      <w:pPr>
        <w:jc w:val="center"/>
        <w:rPr>
          <w:rFonts w:ascii="Arial" w:hAnsi="Arial" w:cs="Arial"/>
          <w:b/>
          <w:sz w:val="28"/>
          <w:szCs w:val="28"/>
        </w:rPr>
      </w:pPr>
    </w:p>
    <w:p w14:paraId="15758162" w14:textId="3D14008F" w:rsidR="001B7CD6" w:rsidRDefault="00420F5F" w:rsidP="001B7C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CEMETERY FEES </w:t>
      </w:r>
      <w:r w:rsidR="001926C8">
        <w:rPr>
          <w:rFonts w:ascii="Arial" w:hAnsi="Arial" w:cs="Arial"/>
          <w:b/>
          <w:sz w:val="28"/>
          <w:szCs w:val="28"/>
        </w:rPr>
        <w:t>202</w:t>
      </w:r>
      <w:r w:rsidR="0046307C">
        <w:rPr>
          <w:rFonts w:ascii="Arial" w:hAnsi="Arial" w:cs="Arial"/>
          <w:b/>
          <w:sz w:val="28"/>
          <w:szCs w:val="28"/>
        </w:rPr>
        <w:t>4</w:t>
      </w:r>
      <w:r w:rsidR="001926C8">
        <w:rPr>
          <w:rFonts w:ascii="Arial" w:hAnsi="Arial" w:cs="Arial"/>
          <w:b/>
          <w:sz w:val="28"/>
          <w:szCs w:val="28"/>
        </w:rPr>
        <w:t>/202</w:t>
      </w:r>
      <w:r w:rsidR="0046307C">
        <w:rPr>
          <w:rFonts w:ascii="Arial" w:hAnsi="Arial" w:cs="Arial"/>
          <w:b/>
          <w:sz w:val="28"/>
          <w:szCs w:val="28"/>
        </w:rPr>
        <w:t>5</w:t>
      </w:r>
    </w:p>
    <w:p w14:paraId="57F15116" w14:textId="77777777" w:rsidR="00EB354C" w:rsidRDefault="00EB354C" w:rsidP="001B7CD6">
      <w:pPr>
        <w:jc w:val="center"/>
        <w:rPr>
          <w:rFonts w:ascii="Arial" w:hAnsi="Arial" w:cs="Arial"/>
          <w:b/>
          <w:sz w:val="28"/>
          <w:szCs w:val="28"/>
        </w:rPr>
      </w:pPr>
    </w:p>
    <w:p w14:paraId="5FC09394" w14:textId="77777777" w:rsidR="001B7CD6" w:rsidRDefault="001B7CD6" w:rsidP="001B7CD6">
      <w:pPr>
        <w:rPr>
          <w:rFonts w:ascii="Arial" w:hAnsi="Arial" w:cs="Arial"/>
        </w:rPr>
      </w:pPr>
    </w:p>
    <w:p w14:paraId="79EA85C1" w14:textId="77777777" w:rsidR="001B7CD6" w:rsidRDefault="001B7CD6" w:rsidP="007E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fees set out below apply where the person to be interred, or in respect of whom the right is granted, is, or immediately before his/her death was, an inhabitant or parishioner of Trimdon Parish Council or, in the case of a stillborn child, the parents (or one of them) are, or at the time of interment, were, such inhabitants, or parishioners.  In all other cases the fees payable will be doubled.</w:t>
      </w:r>
    </w:p>
    <w:p w14:paraId="351A3A05" w14:textId="77777777" w:rsidR="001B7CD6" w:rsidRDefault="001B7CD6" w:rsidP="007E2D84">
      <w:pPr>
        <w:jc w:val="both"/>
        <w:rPr>
          <w:rFonts w:ascii="Arial" w:hAnsi="Arial" w:cs="Arial"/>
        </w:rPr>
      </w:pPr>
    </w:p>
    <w:p w14:paraId="4A30A3DD" w14:textId="77777777" w:rsidR="001B7CD6" w:rsidRDefault="001B7CD6" w:rsidP="007E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Fees as quoted, apply only where the interment is made on a weekday.  Where any interment is made on a Saturday, a Bank Holiday, the day after a B</w:t>
      </w:r>
      <w:r w:rsidR="00094048">
        <w:rPr>
          <w:rFonts w:ascii="Arial" w:hAnsi="Arial" w:cs="Arial"/>
        </w:rPr>
        <w:t>ank Holiday or on a Monday,</w:t>
      </w:r>
      <w:r>
        <w:rPr>
          <w:rFonts w:ascii="Arial" w:hAnsi="Arial" w:cs="Arial"/>
        </w:rPr>
        <w:t xml:space="preserve"> all interment fees stated will be doubled.</w:t>
      </w:r>
    </w:p>
    <w:p w14:paraId="470B2B27" w14:textId="77777777" w:rsidR="00E16585" w:rsidRDefault="00E16585" w:rsidP="007E2D84">
      <w:pPr>
        <w:jc w:val="both"/>
        <w:rPr>
          <w:rFonts w:ascii="Arial" w:hAnsi="Arial" w:cs="Arial"/>
        </w:rPr>
      </w:pPr>
    </w:p>
    <w:p w14:paraId="12835727" w14:textId="1D2E73A5" w:rsidR="00E16585" w:rsidRDefault="00E16585" w:rsidP="007E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Parish Council meeting on </w:t>
      </w:r>
      <w:proofErr w:type="gramStart"/>
      <w:r>
        <w:rPr>
          <w:rFonts w:ascii="Arial" w:hAnsi="Arial" w:cs="Arial"/>
        </w:rPr>
        <w:t>11 April 2017</w:t>
      </w:r>
      <w:proofErr w:type="gramEnd"/>
      <w:r>
        <w:rPr>
          <w:rFonts w:ascii="Arial" w:hAnsi="Arial" w:cs="Arial"/>
        </w:rPr>
        <w:t xml:space="preserve"> it was agreed that all fees in respect of children’s</w:t>
      </w:r>
      <w:r w:rsidR="00DB30FF">
        <w:rPr>
          <w:rFonts w:ascii="Arial" w:hAnsi="Arial" w:cs="Arial"/>
        </w:rPr>
        <w:t xml:space="preserve"> (under the age of 16)</w:t>
      </w:r>
      <w:r>
        <w:rPr>
          <w:rFonts w:ascii="Arial" w:hAnsi="Arial" w:cs="Arial"/>
        </w:rPr>
        <w:t xml:space="preserve"> funerals for families current resident within Trimdon Parish Council we waived.</w:t>
      </w:r>
    </w:p>
    <w:p w14:paraId="53B340CB" w14:textId="77777777" w:rsidR="001B7CD6" w:rsidRDefault="001B7CD6" w:rsidP="007E2D84">
      <w:pPr>
        <w:jc w:val="both"/>
        <w:rPr>
          <w:rFonts w:ascii="Arial" w:hAnsi="Arial" w:cs="Arial"/>
        </w:rPr>
      </w:pPr>
    </w:p>
    <w:p w14:paraId="1EC98C7B" w14:textId="77777777" w:rsidR="004E5F9B" w:rsidRDefault="001B7CD6" w:rsidP="001B7CD6">
      <w:pPr>
        <w:rPr>
          <w:rFonts w:ascii="Arial" w:hAnsi="Arial" w:cs="Arial"/>
        </w:rPr>
      </w:pPr>
      <w:r>
        <w:rPr>
          <w:rFonts w:ascii="Arial" w:hAnsi="Arial" w:cs="Arial"/>
        </w:rPr>
        <w:t>INTERMENT FEES</w:t>
      </w:r>
    </w:p>
    <w:p w14:paraId="351F1144" w14:textId="77777777" w:rsidR="00AC2B13" w:rsidRDefault="00AC2B13" w:rsidP="001B7CD6">
      <w:pPr>
        <w:rPr>
          <w:rFonts w:ascii="Arial" w:hAnsi="Arial" w:cs="Arial"/>
        </w:rPr>
      </w:pPr>
    </w:p>
    <w:p w14:paraId="03E63B98" w14:textId="77777777" w:rsidR="00AC2B13" w:rsidRDefault="004E5F9B" w:rsidP="001B7C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Non Resident</w:t>
      </w:r>
      <w:proofErr w:type="gramEnd"/>
    </w:p>
    <w:p w14:paraId="3288DA2F" w14:textId="77777777" w:rsidR="004E5F9B" w:rsidRDefault="004E5F9B" w:rsidP="001B7C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4"/>
        <w:gridCol w:w="2083"/>
        <w:gridCol w:w="1999"/>
      </w:tblGrid>
      <w:tr w:rsidR="001B7CD6" w14:paraId="55181D38" w14:textId="77777777" w:rsidTr="00D55AEE">
        <w:tc>
          <w:tcPr>
            <w:tcW w:w="4934" w:type="dxa"/>
          </w:tcPr>
          <w:p w14:paraId="47271E1B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42BAD444" w14:textId="77777777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body of a child who</w:t>
            </w:r>
            <w:r w:rsidR="00D9533C">
              <w:rPr>
                <w:rFonts w:ascii="Arial" w:hAnsi="Arial" w:cs="Arial"/>
              </w:rPr>
              <w:t>se age at the time of death was</w:t>
            </w:r>
            <w:r>
              <w:rPr>
                <w:rFonts w:ascii="Arial" w:hAnsi="Arial" w:cs="Arial"/>
              </w:rPr>
              <w:t xml:space="preserve"> under 16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</w:p>
          <w:p w14:paraId="146E021B" w14:textId="77777777" w:rsidR="001B7CD6" w:rsidRDefault="001B7CD6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5B5391A2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3006ED29" w14:textId="77777777" w:rsidR="001B7CD6" w:rsidRDefault="00E16585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  <w:tc>
          <w:tcPr>
            <w:tcW w:w="1999" w:type="dxa"/>
          </w:tcPr>
          <w:p w14:paraId="14C51AA9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6963FD68" w14:textId="77777777" w:rsidR="001B7CD6" w:rsidRDefault="002466AA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89C73EC" w14:textId="7C9E1807" w:rsidR="002466AA" w:rsidRDefault="002466AA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</w:tr>
      <w:tr w:rsidR="001B7CD6" w14:paraId="6B740A2F" w14:textId="77777777" w:rsidTr="00D55AEE">
        <w:tc>
          <w:tcPr>
            <w:tcW w:w="4934" w:type="dxa"/>
          </w:tcPr>
          <w:p w14:paraId="1925CA2F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59CA2292" w14:textId="77777777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body of a person whose age at the time of death exceeded 16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</w:p>
          <w:p w14:paraId="3A9D2F67" w14:textId="77777777" w:rsidR="001B7CD6" w:rsidRDefault="001B7CD6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3B305FA1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49D17BD4" w14:textId="6265F16E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6307C">
              <w:rPr>
                <w:rFonts w:ascii="Arial" w:hAnsi="Arial" w:cs="Arial"/>
              </w:rPr>
              <w:t>185</w:t>
            </w:r>
          </w:p>
        </w:tc>
        <w:tc>
          <w:tcPr>
            <w:tcW w:w="1999" w:type="dxa"/>
          </w:tcPr>
          <w:p w14:paraId="048853C7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7D02B203" w14:textId="2454598B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466AA">
              <w:rPr>
                <w:rFonts w:ascii="Arial" w:hAnsi="Arial" w:cs="Arial"/>
              </w:rPr>
              <w:t>3</w:t>
            </w:r>
            <w:r w:rsidR="0046307C">
              <w:rPr>
                <w:rFonts w:ascii="Arial" w:hAnsi="Arial" w:cs="Arial"/>
              </w:rPr>
              <w:t>7</w:t>
            </w:r>
            <w:r w:rsidR="002466AA">
              <w:rPr>
                <w:rFonts w:ascii="Arial" w:hAnsi="Arial" w:cs="Arial"/>
              </w:rPr>
              <w:t>0</w:t>
            </w:r>
          </w:p>
        </w:tc>
      </w:tr>
      <w:tr w:rsidR="001B7CD6" w14:paraId="756A323E" w14:textId="77777777" w:rsidTr="00D55AEE">
        <w:tc>
          <w:tcPr>
            <w:tcW w:w="4934" w:type="dxa"/>
          </w:tcPr>
          <w:p w14:paraId="5DB798E5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677171B7" w14:textId="77777777" w:rsidR="001B7CD6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Interment of cremated remains</w:t>
            </w:r>
          </w:p>
          <w:p w14:paraId="0624623C" w14:textId="77777777" w:rsidR="00D9533C" w:rsidRDefault="00D9533C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3CD948BA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76C7D27F" w14:textId="2461823C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46307C">
              <w:rPr>
                <w:rFonts w:ascii="Arial" w:hAnsi="Arial" w:cs="Arial"/>
              </w:rPr>
              <w:t>5</w:t>
            </w:r>
          </w:p>
        </w:tc>
        <w:tc>
          <w:tcPr>
            <w:tcW w:w="1999" w:type="dxa"/>
          </w:tcPr>
          <w:p w14:paraId="6AE3448D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2BC9BD26" w14:textId="3662E71E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630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C5375D" w14:paraId="780FA8E4" w14:textId="77777777" w:rsidTr="009065CA">
        <w:tc>
          <w:tcPr>
            <w:tcW w:w="4934" w:type="dxa"/>
          </w:tcPr>
          <w:p w14:paraId="6217D364" w14:textId="77777777" w:rsidR="00C5375D" w:rsidRDefault="00C5375D" w:rsidP="009065CA">
            <w:pPr>
              <w:rPr>
                <w:rFonts w:ascii="Arial" w:hAnsi="Arial" w:cs="Arial"/>
              </w:rPr>
            </w:pPr>
          </w:p>
          <w:p w14:paraId="47159811" w14:textId="77777777" w:rsidR="00C5375D" w:rsidRDefault="00C5375D" w:rsidP="0090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Exclusive rights of burial </w:t>
            </w:r>
          </w:p>
          <w:p w14:paraId="22779DDE" w14:textId="77777777" w:rsidR="00C5375D" w:rsidRDefault="00C5375D" w:rsidP="009065CA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61F01162" w14:textId="77777777" w:rsidR="00C5375D" w:rsidRDefault="00C5375D" w:rsidP="009065CA">
            <w:pPr>
              <w:rPr>
                <w:rFonts w:ascii="Arial" w:hAnsi="Arial" w:cs="Arial"/>
              </w:rPr>
            </w:pPr>
          </w:p>
          <w:p w14:paraId="51D7BE3B" w14:textId="38EC49C2" w:rsidR="00C5375D" w:rsidRDefault="00C5375D" w:rsidP="0090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466AA">
              <w:rPr>
                <w:rFonts w:ascii="Arial" w:hAnsi="Arial" w:cs="Arial"/>
              </w:rPr>
              <w:t>1</w:t>
            </w:r>
            <w:r w:rsidR="0046307C">
              <w:rPr>
                <w:rFonts w:ascii="Arial" w:hAnsi="Arial" w:cs="Arial"/>
              </w:rPr>
              <w:t>80</w:t>
            </w:r>
          </w:p>
        </w:tc>
        <w:tc>
          <w:tcPr>
            <w:tcW w:w="1999" w:type="dxa"/>
          </w:tcPr>
          <w:p w14:paraId="5CA9D145" w14:textId="77777777" w:rsidR="00C5375D" w:rsidRDefault="00C5375D" w:rsidP="009065CA">
            <w:pPr>
              <w:rPr>
                <w:rFonts w:ascii="Arial" w:hAnsi="Arial" w:cs="Arial"/>
              </w:rPr>
            </w:pPr>
          </w:p>
          <w:p w14:paraId="79CE3D39" w14:textId="2C3AE787" w:rsidR="00C5375D" w:rsidRDefault="00C5375D" w:rsidP="0090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06336">
              <w:rPr>
                <w:rFonts w:ascii="Arial" w:hAnsi="Arial" w:cs="Arial"/>
              </w:rPr>
              <w:t>3</w:t>
            </w:r>
            <w:r w:rsidR="0046307C">
              <w:rPr>
                <w:rFonts w:ascii="Arial" w:hAnsi="Arial" w:cs="Arial"/>
              </w:rPr>
              <w:t>60</w:t>
            </w:r>
          </w:p>
        </w:tc>
      </w:tr>
      <w:tr w:rsidR="001B7CD6" w14:paraId="152ADF20" w14:textId="77777777" w:rsidTr="00D55AEE">
        <w:tc>
          <w:tcPr>
            <w:tcW w:w="4934" w:type="dxa"/>
          </w:tcPr>
          <w:p w14:paraId="061673C1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26637713" w14:textId="578F6A69" w:rsidR="00D9533C" w:rsidRDefault="00C5375D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Grave </w:t>
            </w:r>
            <w:proofErr w:type="gramStart"/>
            <w:r>
              <w:rPr>
                <w:rFonts w:ascii="Arial" w:hAnsi="Arial" w:cs="Arial"/>
              </w:rPr>
              <w:t>digging</w:t>
            </w:r>
            <w:proofErr w:type="gramEnd"/>
          </w:p>
          <w:p w14:paraId="50DBE413" w14:textId="77777777" w:rsidR="00D9533C" w:rsidRDefault="00D9533C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1EC99461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364E2129" w14:textId="2673C0CB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06336">
              <w:rPr>
                <w:rFonts w:ascii="Arial" w:hAnsi="Arial" w:cs="Arial"/>
              </w:rPr>
              <w:t>150</w:t>
            </w:r>
          </w:p>
        </w:tc>
        <w:tc>
          <w:tcPr>
            <w:tcW w:w="1999" w:type="dxa"/>
          </w:tcPr>
          <w:p w14:paraId="6E5AE627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303C5237" w14:textId="63F07551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06336">
              <w:rPr>
                <w:rFonts w:ascii="Arial" w:hAnsi="Arial" w:cs="Arial"/>
              </w:rPr>
              <w:t>300</w:t>
            </w:r>
          </w:p>
        </w:tc>
      </w:tr>
    </w:tbl>
    <w:p w14:paraId="42C0871A" w14:textId="77777777" w:rsidR="001B7CD6" w:rsidRDefault="001B7CD6" w:rsidP="001B7CD6">
      <w:pPr>
        <w:rPr>
          <w:rFonts w:ascii="Arial" w:hAnsi="Arial" w:cs="Arial"/>
        </w:rPr>
      </w:pPr>
    </w:p>
    <w:p w14:paraId="6F0BBBE5" w14:textId="77777777" w:rsidR="0032023F" w:rsidRDefault="0032023F" w:rsidP="001B7CD6">
      <w:pPr>
        <w:rPr>
          <w:rFonts w:ascii="Arial" w:hAnsi="Arial" w:cs="Arial"/>
        </w:rPr>
      </w:pPr>
    </w:p>
    <w:p w14:paraId="30343D06" w14:textId="77777777" w:rsidR="0032023F" w:rsidRPr="001B7CD6" w:rsidRDefault="0032023F" w:rsidP="001B7CD6">
      <w:pPr>
        <w:rPr>
          <w:rFonts w:ascii="Arial" w:hAnsi="Arial" w:cs="Arial"/>
        </w:rPr>
      </w:pPr>
    </w:p>
    <w:p w14:paraId="5F15DA55" w14:textId="77777777" w:rsidR="0032023F" w:rsidRDefault="0032023F" w:rsidP="0032023F">
      <w:pPr>
        <w:rPr>
          <w:rFonts w:ascii="Arial" w:hAnsi="Arial" w:cs="Arial"/>
        </w:rPr>
      </w:pPr>
      <w:r>
        <w:rPr>
          <w:rFonts w:ascii="Arial" w:hAnsi="Arial" w:cs="Arial"/>
        </w:rPr>
        <w:t>MONUMENTS AND INSCRIPTIONS</w:t>
      </w:r>
    </w:p>
    <w:p w14:paraId="6465CFD6" w14:textId="77777777" w:rsidR="0032023F" w:rsidRDefault="004E5F9B" w:rsidP="003202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Non Resident</w:t>
      </w:r>
      <w:proofErr w:type="gramEnd"/>
    </w:p>
    <w:p w14:paraId="30E3203B" w14:textId="77777777" w:rsidR="0032023F" w:rsidRDefault="0032023F" w:rsidP="003202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2074"/>
        <w:gridCol w:w="2001"/>
      </w:tblGrid>
      <w:tr w:rsidR="0032023F" w14:paraId="137777B0" w14:textId="77777777" w:rsidTr="006B0DDC">
        <w:tc>
          <w:tcPr>
            <w:tcW w:w="4941" w:type="dxa"/>
          </w:tcPr>
          <w:p w14:paraId="145848F5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19F3AA76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Grave</w:t>
            </w:r>
          </w:p>
          <w:p w14:paraId="33DF20F9" w14:textId="77777777" w:rsidR="0032023F" w:rsidRDefault="0032023F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200BB77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12470E3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</w:tc>
        <w:tc>
          <w:tcPr>
            <w:tcW w:w="2001" w:type="dxa"/>
          </w:tcPr>
          <w:p w14:paraId="2E0B9832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DDA86F1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</w:t>
            </w:r>
          </w:p>
        </w:tc>
      </w:tr>
      <w:tr w:rsidR="0032023F" w14:paraId="3E4EBC69" w14:textId="77777777" w:rsidTr="006B0DDC">
        <w:tc>
          <w:tcPr>
            <w:tcW w:w="4941" w:type="dxa"/>
          </w:tcPr>
          <w:p w14:paraId="324C3C81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31B9F71B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two graves</w:t>
            </w:r>
          </w:p>
          <w:p w14:paraId="4649A345" w14:textId="77777777" w:rsidR="0032023F" w:rsidRDefault="0032023F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2096D74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EB8B763" w14:textId="1F0A2AA2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E5CA1">
              <w:rPr>
                <w:rFonts w:ascii="Arial" w:hAnsi="Arial" w:cs="Arial"/>
              </w:rPr>
              <w:t>10</w:t>
            </w:r>
            <w:r w:rsidR="00EF03FC">
              <w:rPr>
                <w:rFonts w:ascii="Arial" w:hAnsi="Arial" w:cs="Arial"/>
              </w:rPr>
              <w:t>0</w:t>
            </w:r>
          </w:p>
        </w:tc>
        <w:tc>
          <w:tcPr>
            <w:tcW w:w="2001" w:type="dxa"/>
          </w:tcPr>
          <w:p w14:paraId="5F6005F0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1D0B224" w14:textId="5CCF72A4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E5CA1">
              <w:rPr>
                <w:rFonts w:ascii="Arial" w:hAnsi="Arial" w:cs="Arial"/>
              </w:rPr>
              <w:t>20</w:t>
            </w:r>
            <w:r w:rsidR="00EF03FC">
              <w:rPr>
                <w:rFonts w:ascii="Arial" w:hAnsi="Arial" w:cs="Arial"/>
              </w:rPr>
              <w:t>0</w:t>
            </w:r>
          </w:p>
        </w:tc>
      </w:tr>
      <w:tr w:rsidR="0032023F" w14:paraId="388A77CA" w14:textId="77777777" w:rsidTr="006B0DDC">
        <w:tc>
          <w:tcPr>
            <w:tcW w:w="4941" w:type="dxa"/>
          </w:tcPr>
          <w:p w14:paraId="6D9EDDDD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2B25057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 </w:t>
            </w:r>
            <w:proofErr w:type="gramStart"/>
            <w:r>
              <w:rPr>
                <w:rFonts w:ascii="Arial" w:hAnsi="Arial" w:cs="Arial"/>
              </w:rPr>
              <w:t>monument</w:t>
            </w:r>
            <w:proofErr w:type="gramEnd"/>
          </w:p>
          <w:p w14:paraId="0DC0C032" w14:textId="77777777" w:rsidR="0032023F" w:rsidRDefault="0032023F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69A068C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DFA052C" w14:textId="1C43DAA5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4</w:t>
            </w:r>
            <w:r w:rsidR="002E5CA1"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</w:tcPr>
          <w:p w14:paraId="0BA53A6F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5CBF78CF" w14:textId="78D032DD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E5CA1">
              <w:rPr>
                <w:rFonts w:ascii="Arial" w:hAnsi="Arial" w:cs="Arial"/>
              </w:rPr>
              <w:t>9</w:t>
            </w:r>
            <w:r w:rsidR="00EF03FC">
              <w:rPr>
                <w:rFonts w:ascii="Arial" w:hAnsi="Arial" w:cs="Arial"/>
              </w:rPr>
              <w:t>0</w:t>
            </w:r>
          </w:p>
        </w:tc>
      </w:tr>
      <w:tr w:rsidR="0032023F" w14:paraId="5DAB0BB1" w14:textId="77777777" w:rsidTr="006B0DDC">
        <w:tc>
          <w:tcPr>
            <w:tcW w:w="4941" w:type="dxa"/>
          </w:tcPr>
          <w:p w14:paraId="33224B03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5A488A2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proofErr w:type="gramStart"/>
            <w:r>
              <w:rPr>
                <w:rFonts w:ascii="Arial" w:hAnsi="Arial" w:cs="Arial"/>
              </w:rPr>
              <w:t>inscription</w:t>
            </w:r>
            <w:proofErr w:type="gramEnd"/>
          </w:p>
          <w:p w14:paraId="541A80D2" w14:textId="77777777" w:rsidR="00EB354C" w:rsidRDefault="00EB354C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7CCED8E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2BC21E54" w14:textId="6CEFC814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E5CA1">
              <w:rPr>
                <w:rFonts w:ascii="Arial" w:hAnsi="Arial" w:cs="Arial"/>
              </w:rPr>
              <w:t>30</w:t>
            </w:r>
          </w:p>
        </w:tc>
        <w:tc>
          <w:tcPr>
            <w:tcW w:w="2001" w:type="dxa"/>
          </w:tcPr>
          <w:p w14:paraId="511249C4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5A4C875" w14:textId="12BAE620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E5CA1">
              <w:rPr>
                <w:rFonts w:ascii="Arial" w:hAnsi="Arial" w:cs="Arial"/>
              </w:rPr>
              <w:t>6</w:t>
            </w:r>
            <w:r w:rsidR="00EF03FC">
              <w:rPr>
                <w:rFonts w:ascii="Arial" w:hAnsi="Arial" w:cs="Arial"/>
              </w:rPr>
              <w:t>0</w:t>
            </w:r>
          </w:p>
        </w:tc>
      </w:tr>
      <w:tr w:rsidR="0032023F" w14:paraId="1E76AE48" w14:textId="77777777" w:rsidTr="006B0DDC">
        <w:tc>
          <w:tcPr>
            <w:tcW w:w="4941" w:type="dxa"/>
          </w:tcPr>
          <w:p w14:paraId="05EC6151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585E1600" w14:textId="77777777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Vase instead of a Headstone</w:t>
            </w:r>
          </w:p>
          <w:p w14:paraId="2C7ED2F8" w14:textId="77777777" w:rsidR="00EB354C" w:rsidRDefault="00EB354C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8704D30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274DDCCB" w14:textId="0D7A7197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E5CA1">
              <w:rPr>
                <w:rFonts w:ascii="Arial" w:hAnsi="Arial" w:cs="Arial"/>
              </w:rPr>
              <w:t>30</w:t>
            </w:r>
          </w:p>
        </w:tc>
        <w:tc>
          <w:tcPr>
            <w:tcW w:w="2001" w:type="dxa"/>
          </w:tcPr>
          <w:p w14:paraId="711C0D9E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5C43573D" w14:textId="010A93A1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E5CA1">
              <w:rPr>
                <w:rFonts w:ascii="Arial" w:hAnsi="Arial" w:cs="Arial"/>
              </w:rPr>
              <w:t>6</w:t>
            </w:r>
            <w:r w:rsidR="00EF03FC">
              <w:rPr>
                <w:rFonts w:ascii="Arial" w:hAnsi="Arial" w:cs="Arial"/>
              </w:rPr>
              <w:t>0</w:t>
            </w:r>
          </w:p>
        </w:tc>
      </w:tr>
    </w:tbl>
    <w:p w14:paraId="4A08C1F1" w14:textId="77777777" w:rsidR="0032023F" w:rsidRPr="0032023F" w:rsidRDefault="0032023F" w:rsidP="0032023F">
      <w:pPr>
        <w:rPr>
          <w:rFonts w:ascii="Arial" w:hAnsi="Arial" w:cs="Arial"/>
        </w:rPr>
      </w:pPr>
    </w:p>
    <w:p w14:paraId="4D0526D2" w14:textId="77777777" w:rsidR="001B7CD6" w:rsidRDefault="001B7CD6" w:rsidP="001B7CD6">
      <w:pPr>
        <w:jc w:val="center"/>
        <w:rPr>
          <w:rFonts w:ascii="Arial" w:hAnsi="Arial" w:cs="Arial"/>
          <w:b/>
          <w:sz w:val="28"/>
          <w:szCs w:val="28"/>
        </w:rPr>
      </w:pPr>
    </w:p>
    <w:p w14:paraId="59AF322F" w14:textId="7F4C82BE" w:rsidR="00AC2B13" w:rsidRDefault="00AC2B13" w:rsidP="00AC2B13">
      <w:pPr>
        <w:rPr>
          <w:rFonts w:ascii="Arial" w:hAnsi="Arial" w:cs="Arial"/>
        </w:rPr>
      </w:pPr>
      <w:r>
        <w:rPr>
          <w:rFonts w:ascii="Arial" w:hAnsi="Arial" w:cs="Arial"/>
        </w:rPr>
        <w:t>For all enquiries contact Trimdon Parish Council on 01429 880538</w:t>
      </w:r>
    </w:p>
    <w:p w14:paraId="3540A823" w14:textId="0C7F1CF6" w:rsidR="001926C8" w:rsidRDefault="001926C8" w:rsidP="00AC2B13">
      <w:pPr>
        <w:rPr>
          <w:rFonts w:ascii="Arial" w:hAnsi="Arial" w:cs="Arial"/>
        </w:rPr>
      </w:pPr>
    </w:p>
    <w:p w14:paraId="0386BF78" w14:textId="6F684D99" w:rsidR="001926C8" w:rsidRDefault="001926C8" w:rsidP="00AC2B13">
      <w:pPr>
        <w:rPr>
          <w:rFonts w:ascii="Arial" w:hAnsi="Arial" w:cs="Arial"/>
        </w:rPr>
      </w:pPr>
      <w:r>
        <w:rPr>
          <w:rFonts w:ascii="Arial" w:hAnsi="Arial" w:cs="Arial"/>
        </w:rPr>
        <w:t>*Effective from 1 April 202</w:t>
      </w:r>
      <w:r w:rsidR="0046307C">
        <w:rPr>
          <w:rFonts w:ascii="Arial" w:hAnsi="Arial" w:cs="Arial"/>
        </w:rPr>
        <w:t>4</w:t>
      </w:r>
    </w:p>
    <w:p w14:paraId="7C06577C" w14:textId="6A1E7000" w:rsidR="00407639" w:rsidRDefault="00407639" w:rsidP="00AC2B13">
      <w:pPr>
        <w:rPr>
          <w:rFonts w:ascii="Arial" w:hAnsi="Arial" w:cs="Arial"/>
        </w:rPr>
      </w:pPr>
    </w:p>
    <w:p w14:paraId="2CBBA8A3" w14:textId="77777777" w:rsidR="001926C8" w:rsidRDefault="001926C8" w:rsidP="00AC2B13">
      <w:pPr>
        <w:rPr>
          <w:rFonts w:ascii="Arial" w:hAnsi="Arial" w:cs="Arial"/>
        </w:rPr>
      </w:pPr>
    </w:p>
    <w:sectPr w:rsidR="001926C8" w:rsidSect="00AD4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D6"/>
    <w:rsid w:val="00094048"/>
    <w:rsid w:val="00167692"/>
    <w:rsid w:val="001926C8"/>
    <w:rsid w:val="001B7CD6"/>
    <w:rsid w:val="002466AA"/>
    <w:rsid w:val="002625C0"/>
    <w:rsid w:val="00266C7E"/>
    <w:rsid w:val="00266E9C"/>
    <w:rsid w:val="002820C5"/>
    <w:rsid w:val="002A496C"/>
    <w:rsid w:val="002E2DF5"/>
    <w:rsid w:val="002E5CA1"/>
    <w:rsid w:val="0032023F"/>
    <w:rsid w:val="00365CB3"/>
    <w:rsid w:val="003D62D9"/>
    <w:rsid w:val="00407639"/>
    <w:rsid w:val="00420F5F"/>
    <w:rsid w:val="0046307C"/>
    <w:rsid w:val="0047606E"/>
    <w:rsid w:val="004E35DD"/>
    <w:rsid w:val="004E5F9B"/>
    <w:rsid w:val="0054713F"/>
    <w:rsid w:val="006B0DDC"/>
    <w:rsid w:val="007E2D84"/>
    <w:rsid w:val="00871CA7"/>
    <w:rsid w:val="0088785C"/>
    <w:rsid w:val="008A6A4D"/>
    <w:rsid w:val="00906336"/>
    <w:rsid w:val="0099093D"/>
    <w:rsid w:val="009B6DC4"/>
    <w:rsid w:val="009F483A"/>
    <w:rsid w:val="00A27579"/>
    <w:rsid w:val="00A65E71"/>
    <w:rsid w:val="00AC2B13"/>
    <w:rsid w:val="00AD4978"/>
    <w:rsid w:val="00BE6E14"/>
    <w:rsid w:val="00C5375D"/>
    <w:rsid w:val="00C538D7"/>
    <w:rsid w:val="00D02B45"/>
    <w:rsid w:val="00D55AEE"/>
    <w:rsid w:val="00D819B4"/>
    <w:rsid w:val="00D9533C"/>
    <w:rsid w:val="00DA1853"/>
    <w:rsid w:val="00DB30FF"/>
    <w:rsid w:val="00DB3363"/>
    <w:rsid w:val="00DB6DE4"/>
    <w:rsid w:val="00DF08D5"/>
    <w:rsid w:val="00E16585"/>
    <w:rsid w:val="00E46D50"/>
    <w:rsid w:val="00EB354C"/>
    <w:rsid w:val="00EF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D36E"/>
  <w15:docId w15:val="{4FBDAFAA-D909-43E9-8FDA-FF9A8B7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C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AD7E-9EC0-401F-9AA5-FA02019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Trimdon Parish Council</cp:lastModifiedBy>
  <cp:revision>2</cp:revision>
  <cp:lastPrinted>2024-02-27T16:12:00Z</cp:lastPrinted>
  <dcterms:created xsi:type="dcterms:W3CDTF">2024-03-26T13:09:00Z</dcterms:created>
  <dcterms:modified xsi:type="dcterms:W3CDTF">2024-03-26T13:09:00Z</dcterms:modified>
</cp:coreProperties>
</file>